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EBPG — CE-Kennzeichnung</w:t>
      </w:r>
    </w:p>
    <w:p>
      <w:r>
        <w:rPr>
          <w:color w:val="555555"/>
          <w:sz w:val="18"/>
        </w:rPr>
        <w:t xml:space="preserve">Energieverbrauchsrelevante-Produkte-Gesetz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ein energieverbrauchsrelevantes Produkt in Verkehr zu bringen, wenn das Produkt, seine Verpackung oder ihm beigefügte Unterlagen mit der CE-Kennzeichnung versehen sind, ohne dass eine Durchführungsrechtsvorschrift oder andere Rechtsvorschriften dies vorsehen oder ohne dass die Voraussetzungen der Absätze 2 bis 5 eingehalten sind. Unter denselben Voraussetzungen ist es verboten, ein energieverbrauchsrelevantes Produkt, das noch nicht in Verkehr gebracht wurde, in Betrieb zu nehmen.</w:t>
      </w:r>
    </w:p>
    <w:p>
      <w:r>
        <w:t xml:space="preserve">(2) Die CE-Kennzeichnung muss sichtbar, lesbar und dauerhaft angebracht sein.</w:t>
      </w:r>
    </w:p>
    <w:p>
      <w:r>
        <w:t xml:space="preserve">(3) Die CE-Kennzeichnung besteht aus den Buchstaben „CE“ und muss die in Anhang III der Richtlinie 2009/125/EG festgelegte Gestalt und Mindestgröße haben.</w:t>
      </w:r>
    </w:p>
    <w:p>
      <w:r>
        <w:t xml:space="preserve">(4) Bei Verkleinerung oder Vergrößerung der CE-Kennzeichnung müssen die in Anhang III der Richtlinie 2009/125/EG festgelegten Proportionen gewahrt bleiben.</w:t>
      </w:r>
    </w:p>
    <w:p>
      <w:r>
        <w:t xml:space="preserve">(5) Zusätzlich zur CE-Kennzeichnung dürfen keine Kennzeichnungen angebracht werden, durch die Dritte hinsichtlich der Bedeutung und der Gestalt der CE-Kennzeichnung irregeführt werden können. Jede andere Kennzeichnung darf angebracht werden, wenn sie die Sichtbarkeit und Lesbarkeit der CE-Kennzeichnung nicht beeinträchtigt.</w:t>
      </w:r>
    </w:p>
    <w:p>
      <w:r>
        <w:rPr>
          <w:color w:val="555555"/>
          <w:sz w:val="17"/>
        </w:rPr>
        <w:t xml:space="preserve">Zitiervorschlag: § 6 EBPG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