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EBPG — Außerkrafttreten</w:t>
      </w:r>
    </w:p>
    <w:p>
      <w:r>
        <w:rPr>
          <w:color w:val="555555"/>
          <w:sz w:val="18"/>
        </w:rPr>
        <w:t xml:space="preserve">Energieverbrauchsrelevante-Produkte-Gesetz</w:t>
      </w:r>
    </w:p>
    <w:p>
      <w:r>
        <w:rPr>
          <w:color w:val="555555"/>
          <w:sz w:val="18"/>
        </w:rPr>
        <w:t xml:space="preserve">Stand: 27.06.2026 (konsolidierte Textfassung, kein amtliches Inkrafttretensdatum)</w:t>
      </w:r>
    </w:p>
    <w:p>
      <w:r>
        <w:t xml:space="preserve">Dieses Gesetz tritt mit Ablauf des 31. Oktober 2026 außer Kraft.</w:t>
      </w:r>
    </w:p>
    <w:p>
      <w:r>
        <w:rPr>
          <w:color w:val="555555"/>
          <w:sz w:val="17"/>
        </w:rPr>
        <w:t xml:space="preserve">Zitiervorschlag: § 15 EBPG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https://recht.nulegal.eu/gesetze/EBPG/15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