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EBPG — Anwendungsbereich</w:t>
      </w:r>
    </w:p>
    <w:p>
      <w:r>
        <w:rPr>
          <w:color w:val="555555"/>
          <w:sz w:val="18"/>
        </w:rPr>
        <w:t xml:space="preserve">Energieverbrauchsrelevante-Produkte-Gesetz</w:t>
      </w:r>
    </w:p>
    <w:p>
      <w:r>
        <w:rPr>
          <w:color w:val="555555"/>
          <w:sz w:val="18"/>
        </w:rPr>
        <w:t xml:space="preserve">Stand: 10.06.2019 (konsolidierte Textfassung, kein amtliches Inkrafttretensdatum)</w:t>
      </w:r>
    </w:p>
    <w:p>
      <w:r>
        <w:t xml:space="preserve">(1) Dieses Gesetz gilt für das Inverkehrbringen, die Inbetriebnahme und das Ausstellen energieverbrauchsrelevanter Produkte sowie von Bauteilen und Baugruppen, die zum Einbau in energieverbrauchsrelevante Produkte bestimmt sind. Ausgenommen sind Verkehrsmittel zur Personen- und Güterbeförderung und energieverbrauchsrelevante Produkte, die ihrer Bauart nach ausschließlich zur Verwendung für militärische Zwecke bestimmt sind.</w:t>
      </w:r>
    </w:p>
    <w:p>
      <w:r>
        <w:t xml:space="preserve">(2) Rechtsvorschriften für die Abfallbewirtschaftung und für Chemikalien einschließlich solcher für fluorierte Treibhausgase bleiben unberührt.</w:t>
      </w:r>
    </w:p>
    <w:p>
      <w:r>
        <w:rPr>
          <w:color w:val="555555"/>
          <w:sz w:val="17"/>
        </w:rPr>
        <w:t xml:space="preserve">Zitiervorschlag: § 1 EBPG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