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EBOA (Bayern) — (zu § 7 Abs. 3) Umgrenzung des lichten Raumes für Schmalspur mit Rollfahrzeugbetrieb</w:t>
      </w:r>
    </w:p>
    <w:p>
      <w:r>
        <w:rPr>
          <w:color w:val="555555"/>
          <w:sz w:val="18"/>
        </w:rPr>
        <w:t xml:space="preserve">Eisenbahn-Bau- und Betriebsordnung für Anschlußbahnen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den raum unterhalb des dargestellten Raumes gelten die Maße der Anlage 3 Bild 2.</w:t>
      </w:r>
    </w:p>
    <w:p>
      <w:r>
        <w:rPr>
          <w:color w:val="555555"/>
          <w:sz w:val="17"/>
        </w:rPr>
        <w:t xml:space="preserve">Zitiervorschlag: Anlage 4 EBOA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https://recht.nulegal.eu/gesetze/EBOA/anlage-4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