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EBOA (Bayern) — Gleisbogen, Überhöhung und Gleisneigung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Gleisbogen soll der Halbmesser mindestens betragen:</w:t>
      </w:r>
    </w:p>
    <w:p>
      <w:r>
        <w:t xml:space="preserve">bei Regelspur</w:t>
      </w:r>
    </w:p>
    <w:p>
      <w:r>
        <w:t xml:space="preserve">140 m,</w:t>
      </w:r>
    </w:p>
    <w:p>
      <w:r>
        <w:t xml:space="preserve">bei Schmalspur</w:t>
      </w:r>
    </w:p>
    <w:p>
      <w:r>
        <w:t xml:space="preserve">50 m.</w:t>
      </w:r>
    </w:p>
    <w:p>
      <w:r>
        <w:t xml:space="preserve">Halbmesser unter 140 m bis 100 m sind bei Regelspur zulässig, wenn es die Bauart der Fahrzeuge gestattet und die örtlichen Verhältnisse keine größeren Halbmesser zulassen. Halbmesser unter 100 m bei Regelspur und 50 m bei Schmalspur dürfen nur mit besonderer Genehmigung der Aufsichtsbehörde angelegt werden.</w:t>
      </w:r>
    </w:p>
    <w:p>
      <w:r>
        <w:t xml:space="preserve">(2) Bei Neubauten von Regelspurgleisanlagen ist zwischen Gegenbögen mit Halbmessern unter 200 m eine Zwischengerade anzulegen, deren Länge nach den Halbmessern der Gegenbögen und der Länge der einzusetzenden Fahrzeuge zu bestimmen ist, mindestens jedoch 6 m betragen muß.</w:t>
      </w:r>
    </w:p>
    <w:p>
      <w:r>
        <w:t xml:space="preserve">(3) In Gleisbögen sind je nach Halbmesser und Fahrgeschwindigkeit Überhöhungen zulässig. Jede Änderung der Überhöhung ist durch eine Überhöhungsrampe zu vermitteln, deren Neigung nicht größer als 1:300 sein darf. Die Überhöhung darf in Gleisbögen höchstens betragen:</w:t>
      </w:r>
    </w:p>
    <w:p>
      <w:r>
        <w:t xml:space="preserve">1. bei Regelspur</w:t>
      </w:r>
    </w:p>
    <w:p>
      <w:r>
        <w:t xml:space="preserve">150 mm,</w:t>
      </w:r>
    </w:p>
    <w:p>
      <w:r>
        <w:t xml:space="preserve">2. bei Schmalspur ohne Rollfahrzeugbetrieb</w:t>
      </w:r>
    </w:p>
    <w:p>
      <w:r>
        <w:t xml:space="preserve">von 1000 mm Grundmaß</w:t>
      </w:r>
    </w:p>
    <w:p>
      <w:r>
        <w:t xml:space="preserve">100 mm,</w:t>
      </w:r>
    </w:p>
    <w:p>
      <w:r>
        <w:t xml:space="preserve">von 750 mm Grundmaß</w:t>
      </w:r>
    </w:p>
    <w:p>
      <w:r>
        <w:t xml:space="preserve">50 mm,</w:t>
      </w:r>
    </w:p>
    <w:p>
      <w:r>
        <w:t xml:space="preserve">3. bei Schmalspur mit Rollfahrzeugbetrieb</w:t>
      </w:r>
    </w:p>
    <w:p>
      <w:r>
        <w:t xml:space="preserve">von 1000 mm Grundmaß</w:t>
      </w:r>
    </w:p>
    <w:p>
      <w:r>
        <w:t xml:space="preserve">80 mm,</w:t>
      </w:r>
    </w:p>
    <w:p>
      <w:r>
        <w:t xml:space="preserve">von 750 mm Grundmaß</w:t>
      </w:r>
    </w:p>
    <w:p>
      <w:r>
        <w:t xml:space="preserve">40 mm.</w:t>
      </w:r>
    </w:p>
    <w:p>
      <w:r>
        <w:t xml:space="preserve">(4) Die Längsneigung von Gleisen, in denen Fahrzeuge regelmäßig abgestellt werden, soll bei Neubauten 2,5‰ (1:400) nicht überschreiten.</w:t>
      </w:r>
    </w:p>
    <w:p>
      <w:r>
        <w:t xml:space="preserve">(5) Neigungswechsel sollen mit einem Halbmesser von mindestens 300 m ausgerundet werden.</w:t>
      </w:r>
    </w:p>
    <w:p>
      <w:r>
        <w:rPr>
          <w:color w:val="555555"/>
          <w:sz w:val="17"/>
        </w:rPr>
        <w:t xml:space="preserve">Zitiervorschlag: § 6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