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EBOA (Bayern) — Ordnungswidrigkeiten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29 Nr. 5 BayEBG kann mit Geldbuße bis zu fünftausend Deutsche Mark belegt werden, wer vorsätzlich oder fahrlässig</w:t>
      </w:r>
    </w:p>
    <w:p>
      <w:r>
        <w:t xml:space="preserve">1. entgegen § 11 Abs. 3, 5, 7, 8, 9, 11 bis 18, 20 und 21 Bahnübergänge nicht ordnungsgemäß sichert,</w:t>
      </w:r>
    </w:p>
    <w:p>
      <w:r>
        <w:t xml:space="preserve">2. entgegen § 20 Abs. 1 Fahrzeuge verwendet, die trotz Abnahmevorbehalt nicht abgenommen, oder entgegen § 20 Abs. 2 Fahrzeuge, die nicht fristgerecht untersucht worden sind, verwendet,</w:t>
      </w:r>
    </w:p>
    <w:p>
      <w:r>
        <w:t xml:space="preserve">3. entgegen § 21 Abs. 4, 5 und 6 Dampfkessel auf Schienenfahrzeugen ohne Bauartgenehmigung, Abnahme oder regelmäßige Prüfungen betreibt,</w:t>
      </w:r>
    </w:p>
    <w:p>
      <w:r>
        <w:t xml:space="preserve">4. entgegen § 22 Abs. 2 und 3 Druckbehälter oder sonstige überwachungsbedürftige Anlagen, die mit dem Fahrzeug fest verbunden und zu seinem Betrieb bestimmt sind, ohne Abnahme oder regelmäßige Prüfungen betreibt,</w:t>
      </w:r>
    </w:p>
    <w:p>
      <w:r>
        <w:t xml:space="preserve">5. entgegen § 25 den Verpflichtungen bei der Zusammenstellung von Fahreinheiten nicht nachkommt,</w:t>
      </w:r>
    </w:p>
    <w:p>
      <w:r>
        <w:t xml:space="preserve">6. entgegen § 29 stillstehende Fahrzeuge nicht ordnungsgemäß sichert,</w:t>
      </w:r>
    </w:p>
    <w:p>
      <w:r>
        <w:t xml:space="preserve">7. entgegen § 30 Abs. 1, 3 bis 11, 12 Satz 1 und Abs. 13 den Bestimmungen über die Beförderung gefährlicher Güter zuwiderhandelt.</w:t>
      </w:r>
    </w:p>
    <w:p>
      <w:r>
        <w:rPr>
          <w:color w:val="555555"/>
          <w:sz w:val="17"/>
        </w:rPr>
        <w:t xml:space="preserve">Zitiervorschlag: § 40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