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EBOA (Bayern) — Begriffe, Vorbehalte</w:t>
      </w:r>
    </w:p>
    <w:p>
      <w:r>
        <w:rPr>
          <w:color w:val="555555"/>
          <w:sz w:val="18"/>
        </w:rPr>
        <w:t xml:space="preserve">Eisenbahn-Bau- und Betriebsordnung für Anschlußbahnen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Bahnanlagen sind alle zum Betrieb einer Anschlußbahn erforderlichen Anlagen mit Ausnahme der Fahrzeuge.</w:t>
      </w:r>
    </w:p>
    <w:p>
      <w:r>
        <w:t xml:space="preserve">(2) Die in der Genehmigung festgelegte Grenze der Anschlußbahn ist örtlich zu kennzeichnen.</w:t>
      </w:r>
    </w:p>
    <w:p>
      <w:r>
        <w:t xml:space="preserve">(3) Bei nichtgenehmigungspflichtigen Änderungen von Bahnanlagen (Art. 4 BayEBG) kann sich die Aufsichtsbehörde die Betriebsabnahme sowie die Zustimmung zur Betriebseröffnung vorbehalten.</w:t>
      </w:r>
    </w:p>
    <w:p>
      <w:r>
        <w:rPr>
          <w:color w:val="555555"/>
          <w:sz w:val="17"/>
        </w:rPr>
        <w:t xml:space="preserve">Zitiervorschlag: § 4 EBOA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https://recht.nulegal.eu/gesetze/EBOA/4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