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EBOA (Bayern) — Meldungen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Anschlußinhaber hat unbeschadet der Mitteilungspflicht nach Art. 16 Abs. 1 BayEBG dafür zu sorgen, daß alle Unfälle, bei denen</w:t>
      </w:r>
    </w:p>
    <w:p>
      <w:r>
        <w:t xml:space="preserve">1. Menschen getötet oder lebensgefährlich verletzt wurden,</w:t>
      </w:r>
    </w:p>
    <w:p>
      <w:r>
        <w:t xml:space="preserve">2. der Verdacht vorliegt, daß sie vorsätzlich herbeigeführt worden sind, oder</w:t>
      </w:r>
    </w:p>
    <w:p>
      <w:r>
        <w:t xml:space="preserve">3. Eisenbahnfahrzeuge mit Teilnehmern des öffentlichen Straßenverkehrs zusammengeprallt sind</w:t>
      </w:r>
    </w:p>
    <w:p>
      <w:r>
        <w:t xml:space="preserve">sowie sonstige außergewöhnliche betriebsgefährdende Ereignisse unverzüglich der Aufsichtsbehörde gemeldet werden.</w:t>
      </w:r>
    </w:p>
    <w:p>
      <w:r>
        <w:t xml:space="preserve">(2) Beschädigte Fahrzeuge, die den Betrieb gefährden können, und entgleiste Fahrzeuge hat der Anschlußinhaber der anschließenden Bahn zu melden, bevor sie dieser übergeben werden.</w:t>
      </w:r>
    </w:p>
    <w:p>
      <w:r>
        <w:rPr>
          <w:color w:val="555555"/>
          <w:sz w:val="17"/>
        </w:rPr>
        <w:t xml:space="preserve">Zitiervorschlag: § 34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