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EBOA (Bayern) — Fahrgeschwindigkeit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größte zulässige Fahrgeschwindigkeit beträgt 30 km/h. Sie muß verringert werden, wenn es die Verhältnisse erfordern.</w:t>
      </w:r>
    </w:p>
    <w:p>
      <w:r>
        <w:t xml:space="preserve">(2) Die Fahrgeschwindigkeit darf 20 km/h nicht überschreiten</w:t>
      </w:r>
    </w:p>
    <w:p>
      <w:r>
        <w:t xml:space="preserve">1. bei Fahreinheiten mit Rollfahrzeugen auf Schmalspur mit einem Grundmaß von 750 mm und</w:t>
      </w:r>
    </w:p>
    <w:p>
      <w:r>
        <w:t xml:space="preserve">2. bei geschobenen Fahreinheiten an Bahnübergängen, die weder durch Posten noch technisch gesichert sind.</w:t>
      </w:r>
    </w:p>
    <w:p>
      <w:r>
        <w:rPr>
          <w:color w:val="555555"/>
          <w:sz w:val="17"/>
        </w:rPr>
        <w:t xml:space="preserve">Zitiervorschlag: § 26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