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EBOA (Bayern) — Zusammenstellung der Fahreinheit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 Fahreinheit darf nur so zusammengestellt sein, wie ihre Fahrgeschwindigkeit, Bremsverhältnisse, Zug- und Stoßeinrichtungen und die Bahnanlagen es zulassen.</w:t>
      </w:r>
    </w:p>
    <w:p>
      <w:r>
        <w:t xml:space="preserve">(2) Die Radsatzlast der Fahrzeuge und das Fahrzeuggewicht je Längeneinheit dürfen nicht größer sein, als die zu befahrende Bahnanlage es zuläßt.</w:t>
      </w:r>
    </w:p>
    <w:p>
      <w:r>
        <w:rPr>
          <w:color w:val="555555"/>
          <w:sz w:val="17"/>
        </w:rPr>
        <w:t xml:space="preserve">Zitiervorschlag: § 25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