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EBOA (Bayern) — Abnahme und Untersuchung der Fahrzeuge</w:t>
      </w:r>
    </w:p>
    <w:p>
      <w:r>
        <w:rPr>
          <w:color w:val="555555"/>
          <w:sz w:val="18"/>
        </w:rPr>
        <w:t xml:space="preserve">Eisenbahn-Bau- und Betriebsordnung für Anschlußbahnen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Aufsichtsbehörde kann die Inbetriebnahme von neuen Fahrzeugen (Art. 4 BayEBG) unter den Vorbehalt der Abnahme durch einen Sachverständigen stellen. Gleiches gilt für Änderungen an Fahrzeugen, die die Betriebssicherheit beeinflussen können, insbesondere wenn das Laufwerk oder die Bremsen geändert oder ein Triebfahrzeug mit Fernsteuerung ausgerüstet wurde.</w:t>
      </w:r>
    </w:p>
    <w:p>
      <w:r>
        <w:t xml:space="preserve">(2) Die Fahrzeuge sind mindestens alle vier Jahre zu untersuchen. Diese Frist darf mehrmals um bis zu einem Jahr auf höchstens acht Jahre verlängert werden, wenn festgestellt ist, daß der Zustand des Fahrzeuges dies zuläßt. Unberührt bleibt die nach § 13 Abs. 2 jährlich durchzuführende Prüfung des Hebezeuges von Kranwagen.</w:t>
      </w:r>
    </w:p>
    <w:p>
      <w:r>
        <w:t xml:space="preserve">(3) Die Untersuchungen und Feststellungen nach Absatz 2 müssen Sachverständige oder der Eisenbahnbetriebsleiter im Einvernehmen mit einem Sachkundigen vornehmen.</w:t>
      </w:r>
    </w:p>
    <w:p>
      <w:r>
        <w:t xml:space="preserve">(4) Die Fristen für die Untersuchungen rechnen vom Tage nach beendeter Untersuchung oder Abnahmeuntersuchung an.</w:t>
      </w:r>
    </w:p>
    <w:p>
      <w:r>
        <w:t xml:space="preserve">(5) Die Untersuchung nach Absatz 2 muß sich auf alle Teile erstrecken, deren Zustand die Betriebssicherheit beeinflussen kann. Das sind insbesondere Fahrzeugkasten und -rahmen, Drehgestelle, sonstige Fahrgestelle, Laufwerk, Bremsen, Zug- und Stoßeinrichtungen, Fahrzeugsignalanlagen sowie Zustand und Befestigung von Teilen, deren Herabfallen betriebsgefährdend sein kann. Dabei ist insbesondere auf Risse, Brüche und sonstige Schäden und auf festen Sitz der Niet- und Schraubverbindungen zu achten.</w:t>
      </w:r>
    </w:p>
    <w:p>
      <w:r>
        <w:t xml:space="preserve">(6) Das Ergebnis der Untersuchungen und Feststellungen ist in Aufzeichnungen festzuhalten; die Verantwortlichen (Absatz 3) sind namentlich zu benennen, sie müssen das Ergebnis durch Unterschrift bestätigen.</w:t>
      </w:r>
    </w:p>
    <w:p>
      <w:r>
        <w:t xml:space="preserve">(7) Die Bremseinrichtungen sind bei jeder Fristverlängerung und erforderlichenfalls auch zwischen zwei Untersuchungen durch sachkundige Bedienstete zu prüfen. Hierfür sind Aufzeichnungen zu führen.</w:t>
      </w:r>
    </w:p>
    <w:p>
      <w:r>
        <w:t xml:space="preserve">(8) Für jedes Triebfahrzeug ist ein Betriebsbuch zu führen, das eine Beschreibung oder Darstellung des Fahrzeuges sowie ein Bremsschema und die Bescheinigungen über Bauartprüfung, Abnahme, Druckbehälterprüfung, Betriebserlaubnis, Inbetriebnahme, alle Untersuchungen und Fristverlängerungen nach Absatz 2 enthalten muß.</w:t>
      </w:r>
    </w:p>
    <w:p>
      <w:r>
        <w:t xml:space="preserve">(9) Entgleiste oder beschädigte Fahrzeuge dürfen erst wieder in Betrieb genommen werden, nachdem sie überprüft und betriebsgefährdende Mängel behoben sind.</w:t>
      </w:r>
    </w:p>
    <w:p>
      <w:r>
        <w:rPr>
          <w:color w:val="555555"/>
          <w:sz w:val="17"/>
        </w:rPr>
        <w:t xml:space="preserve">Zitiervorschlag: § 20 EBOA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https://recht.nulegal.eu/gesetze/EBOA/20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