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EBOA (Bayern) — Zug- und Stoßeinrichtungen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Fahrzeuge – ausgenommen Rollböcke – sollen an beiden Enden federnde Zug- und Stoßeinrichtungen haben.</w:t>
      </w:r>
    </w:p>
    <w:p>
      <w:r>
        <w:t xml:space="preserve">(2) An den Fahrzeugen mit Schraubenkupplungen müssen die Maße nach Anlage 18 eingehalten werden.</w:t>
      </w:r>
    </w:p>
    <w:p>
      <w:r>
        <w:t xml:space="preserve">(3) Der in Blickrichtung auf die Stirnseite des Fahrzeuges linke Pufferteller muß gewölbt sein. Sind beide Pufferteller gewölbt, so darf der Wölbungshalbmesser nicht kleiner als 1500 mm sein.</w:t>
      </w:r>
    </w:p>
    <w:p>
      <w:r>
        <w:t xml:space="preserve">(4) Pufferteller müssen so bemessen sein, daß die Puffer beim Durchfahren der in § 6 Abs. 1 genannten Gleisbögen nicht hintereinander greifen können.</w:t>
      </w:r>
    </w:p>
    <w:p>
      <w:r>
        <w:rPr>
          <w:color w:val="555555"/>
          <w:sz w:val="17"/>
        </w:rPr>
        <w:t xml:space="preserve">Zitiervorschlag: § 18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