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EBOA (Bayern) — Oberbau, Bauwerke und Fahrleitungen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Gleisanlagen, Eisenbahnbrücken, Durchlässe, Stützmauern und andere Bauwerke müssen die dort verkehrenden Fahrzeuge entsprechend ihrer Radsatzlast und ihrem Fahrzeuggewicht je Längeneinheit bei der jeweils zulässigen Fahrgeschwindigkeit mit Sicherheit aufnehmen können.</w:t>
      </w:r>
    </w:p>
    <w:p>
      <w:r>
        <w:t xml:space="preserve">(2) Stumpfgleise müssen Gleisabschlüsse haben.</w:t>
      </w:r>
    </w:p>
    <w:p>
      <w:r>
        <w:t xml:space="preserve">(3) Fahrleitungsanlagen müssen den anerkannten Regeln der Technik entsprechen.</w:t>
      </w:r>
    </w:p>
    <w:p>
      <w:r>
        <w:rPr>
          <w:color w:val="555555"/>
          <w:sz w:val="17"/>
        </w:rPr>
        <w:t xml:space="preserve">Zitiervorschlag: § 10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