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7 EBO — (zu § 22)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1991, Nr. 30 Anlageband S. 22 - 23)</w:t>
      </w:r>
    </w:p>
    <w:p>
      <w:r>
        <w:rPr>
          <w:rFonts w:ascii="Courier New" w:hAnsi="Courier New"/>
          <w:sz w:val="17"/>
        </w:rPr>
        <w:t xml:space="preserve">Maße in Millimetern</w:t>
      </w:r>
    </w:p>
    <w:p>
      <w:r>
        <w:t xml:space="preserve">Bezugslinie G 1 für Fahrzeuge, die auch im grenzüberschreitenden Verkehr eingesetzt werden Bild 1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    Unterer Teil der Bezugsliniesiehe Bilder 2 und 3    </w:t>
      </w:r>
    </w:p>
    <w:p>
      <w:r>
        <w:t xml:space="preserve">Bild 2 Bezugslinie für die unteren Teile der Fahrzeuge (ausgenommen besetzte Personenwagen)</w:t>
      </w:r>
    </w:p>
    <w:p>
      <w:r>
        <w:t xml:space="preserve">[Abbildung]</w:t>
      </w:r>
    </w:p>
    <w:p>
      <w:r>
        <w:t xml:space="preserve">Bild 3 Bezugslinie für die unteren Teile besetzter Personenwagen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7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https://recht.nulegal.eu/gesetze/EBO/anlage-7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