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EBO — (zu § 9) Ermittlung der Grenzlinie</w:t>
      </w:r>
    </w:p>
    <w:p>
      <w:r>
        <w:rPr>
          <w:color w:val="555555"/>
          <w:sz w:val="18"/>
        </w:rPr>
        <w:t xml:space="preserve">Eisenbahn-Bau- und Betriebsordnung</w:t>
      </w:r>
    </w:p>
    <w:p>
      <w:r>
        <w:rPr>
          <w:color w:val="555555"/>
          <w:sz w:val="18"/>
        </w:rPr>
        <w:t xml:space="preserve">Stand: 10.06.2019 (konsolidierte Textfassung, kein amtliches Inkrafttretensdatum)</w:t>
      </w:r>
    </w:p>
    <w:p>
      <w:r>
        <w:t xml:space="preserve">(Fundstelle: BGBl. I 1991, Nr. 30 Anlageband S. 6 - 9)</w:t>
      </w:r>
    </w:p>
    <w:p>
      <w:r>
        <w:t xml:space="preserve">1 Die halben Breitenmaße der Grenzlinie für feste Anlagen sind durch Addition folgender horizontal wirkender Einflußgrößen zu berechnen: 1.1 Halbes Breitenmaß der Bezugslinie G 2; Vergrößerungen der Bezugslinie für Fahrzeuge gemäß § 22 Abs. 2 sind zu berücksichtigen. 1.2 Überschreitungen der Bezugslinie, die sich aus der Verschiebung infolge der Stellung eines Fahrzeugs im Gleisbogen und unter Berücksichtigung der Spurweite des Gleises ergibt (Ausladung). 1.3 Verschiebung aus quasistatischer Seitenneigung, die sich beim Stand eines Fahrzeugs in einem Gleis mit Überhöhung oder bei Fahrt in einem Gleisbogen mit Überhöhungsfehlbetrag ergibt, wobei nur der Wert in Ansatz gebracht wird, der den bereits in der Bezugslinie enthaltenen Anteil von 50 mm übersteigt. 1.4 Zufallsbedingte Verschiebungen aus</w:t>
      </w:r>
    </w:p>
    <w:p>
      <w:pPr>
        <w:ind w:left="420"/>
      </w:pPr>
      <w:r>
        <w:t xml:space="preserve">a) Gleislageunregelmäßigkeiten,</w:t>
      </w:r>
    </w:p>
    <w:p>
      <w:pPr>
        <w:ind w:left="420"/>
      </w:pPr>
      <w:r>
        <w:t xml:space="preserve">b) Schwingungen infolge der Wechselwirkung zwischen Fahrzeug und Gleis und</w:t>
      </w:r>
    </w:p>
    <w:p>
      <w:pPr>
        <w:ind w:left="420"/>
      </w:pPr>
      <w:r>
        <w:t xml:space="preserve">c) dem Einfluß der Unsymmetrie bis zu 1 Grad, die sich aus den Bau- und Einstellungstoleranzen der Fahrzeuge und einer ungleichmäßigen Lastverteilung ergibt.</w:t>
      </w:r>
    </w:p>
    <w:p>
      <w:r>
        <w:t xml:space="preserve">Hierbei darf die geringe Wahrscheinlichkeit des gleichzeitigen Auftretens aller ungünstigen Einflüsse berücksichtigt werden. 2 Die Verschiebungen nach 1.2 bis 1.4 dürfen bei Geschwindigkeiten bis 160 km/h auch nach den folgenden Tabellen ermittelt werden: 2.1 Ausladung (zu 1.2) 2.1.1. bei Radien von 250 m und mehr</w:t>
      </w:r>
    </w:p>
    <w:p>
      <w:r>
        <w:rPr>
          <w:rFonts w:ascii="Courier New" w:hAnsi="Courier New"/>
          <w:sz w:val="17"/>
        </w:rPr>
        <w:t xml:space="preserve">Radiusm    Ausladungmm</w:t>
      </w:r>
    </w:p>
    <w:p>
      <w:r>
        <w:rPr>
          <w:rFonts w:ascii="Courier New" w:hAnsi="Courier New"/>
          <w:sz w:val="17"/>
        </w:rPr>
        <w:t xml:space="preserve">Spurweite    Spurweite</w:t>
      </w:r>
    </w:p>
    <w:p>
      <w:r>
        <w:rPr>
          <w:rFonts w:ascii="Courier New" w:hAnsi="Courier New"/>
          <w:sz w:val="17"/>
        </w:rPr>
        <w:t xml:space="preserve">≤ 1445 mm    ≤ 1470 mm</w:t>
      </w:r>
    </w:p>
    <w:p>
      <w:r>
        <w:rPr>
          <w:rFonts w:ascii="Courier New" w:hAnsi="Courier New"/>
          <w:sz w:val="17"/>
        </w:rPr>
        <w:t xml:space="preserve">250    20    33</w:t>
      </w:r>
    </w:p>
    <w:p>
      <w:r>
        <w:rPr>
          <w:rFonts w:ascii="Courier New" w:hAnsi="Courier New"/>
          <w:sz w:val="17"/>
        </w:rPr>
        <w:t xml:space="preserve">300    18    30</w:t>
      </w:r>
    </w:p>
    <w:p>
      <w:r>
        <w:rPr>
          <w:rFonts w:ascii="Courier New" w:hAnsi="Courier New"/>
          <w:sz w:val="17"/>
        </w:rPr>
        <w:t xml:space="preserve">400    14    27</w:t>
      </w:r>
    </w:p>
    <w:p>
      <w:r>
        <w:rPr>
          <w:rFonts w:ascii="Courier New" w:hAnsi="Courier New"/>
          <w:sz w:val="17"/>
        </w:rPr>
        <w:t xml:space="preserve">500    13    25</w:t>
      </w:r>
    </w:p>
    <w:p>
      <w:r>
        <w:rPr>
          <w:rFonts w:ascii="Courier New" w:hAnsi="Courier New"/>
          <w:sz w:val="17"/>
        </w:rPr>
        <w:t xml:space="preserve">600    11    24</w:t>
      </w:r>
    </w:p>
    <w:p>
      <w:r>
        <w:rPr>
          <w:rFonts w:ascii="Courier New" w:hAnsi="Courier New"/>
          <w:sz w:val="17"/>
        </w:rPr>
        <w:t xml:space="preserve">800    10    22</w:t>
      </w:r>
    </w:p>
    <w:p>
      <w:r>
        <w:rPr>
          <w:rFonts w:ascii="Courier New" w:hAnsi="Courier New"/>
          <w:sz w:val="17"/>
        </w:rPr>
        <w:t xml:space="preserve">1000    9    21</w:t>
      </w:r>
    </w:p>
    <w:p>
      <w:r>
        <w:rPr>
          <w:rFonts w:ascii="Courier New" w:hAnsi="Courier New"/>
          <w:sz w:val="17"/>
        </w:rPr>
        <w:t xml:space="preserve">2000    7    20</w:t>
      </w:r>
    </w:p>
    <w:p>
      <w:r>
        <w:rPr>
          <w:rFonts w:ascii="Courier New" w:hAnsi="Courier New"/>
          <w:sz w:val="17"/>
        </w:rPr>
        <w:t xml:space="preserve">3000    6    19</w:t>
      </w:r>
    </w:p>
    <w:p>
      <w:r>
        <w:rPr>
          <w:rFonts w:ascii="Courier New" w:hAnsi="Courier New"/>
          <w:sz w:val="17"/>
        </w:rPr>
        <w:t xml:space="preserve">ₒₒ    5    18</w:t>
      </w:r>
    </w:p>
    <w:p>
      <w:r>
        <w:t xml:space="preserve">2.1.2 bei Radien unter 250 m</w:t>
      </w:r>
    </w:p>
    <w:p>
      <w:r>
        <w:rPr>
          <w:rFonts w:ascii="Courier New" w:hAnsi="Courier New"/>
          <w:sz w:val="17"/>
        </w:rPr>
        <w:t xml:space="preserve">Radiusm    Ausladungmm</w:t>
      </w:r>
    </w:p>
    <w:p>
      <w:r>
        <w:rPr>
          <w:rFonts w:ascii="Courier New" w:hAnsi="Courier New"/>
          <w:sz w:val="17"/>
        </w:rPr>
        <w:t xml:space="preserve">Bogeninnenseite    Bogenaußenseite</w:t>
      </w:r>
    </w:p>
    <w:p>
      <w:r>
        <w:rPr>
          <w:rFonts w:ascii="Courier New" w:hAnsi="Courier New"/>
          <w:sz w:val="17"/>
        </w:rPr>
        <w:t xml:space="preserve">225    55    60</w:t>
      </w:r>
    </w:p>
    <w:p>
      <w:r>
        <w:rPr>
          <w:rFonts w:ascii="Courier New" w:hAnsi="Courier New"/>
          <w:sz w:val="17"/>
        </w:rPr>
        <w:t xml:space="preserve">200    85    95</w:t>
      </w:r>
    </w:p>
    <w:p>
      <w:r>
        <w:rPr>
          <w:rFonts w:ascii="Courier New" w:hAnsi="Courier New"/>
          <w:sz w:val="17"/>
        </w:rPr>
        <w:t xml:space="preserve">190    95    110</w:t>
      </w:r>
    </w:p>
    <w:p>
      <w:r>
        <w:rPr>
          <w:rFonts w:ascii="Courier New" w:hAnsi="Courier New"/>
          <w:sz w:val="17"/>
        </w:rPr>
        <w:t xml:space="preserve">180    110    130</w:t>
      </w:r>
    </w:p>
    <w:p>
      <w:r>
        <w:rPr>
          <w:rFonts w:ascii="Courier New" w:hAnsi="Courier New"/>
          <w:sz w:val="17"/>
        </w:rPr>
        <w:t xml:space="preserve">170    130    145</w:t>
      </w:r>
    </w:p>
    <w:p>
      <w:r>
        <w:rPr>
          <w:rFonts w:ascii="Courier New" w:hAnsi="Courier New"/>
          <w:sz w:val="17"/>
        </w:rPr>
        <w:t xml:space="preserve">150    165    195</w:t>
      </w:r>
    </w:p>
    <w:p>
      <w:r>
        <w:rPr>
          <w:rFonts w:ascii="Courier New" w:hAnsi="Courier New"/>
          <w:sz w:val="17"/>
        </w:rPr>
        <w:t xml:space="preserve">120    365    395</w:t>
      </w:r>
    </w:p>
    <w:p>
      <w:r>
        <w:rPr>
          <w:rFonts w:ascii="Courier New" w:hAnsi="Courier New"/>
          <w:sz w:val="17"/>
        </w:rPr>
        <w:t xml:space="preserve">100    560    600</w:t>
      </w:r>
    </w:p>
    <w:p>
      <w:r>
        <w:t xml:space="preserve">Für Höhen bis 400 mm über SO dürfen die Tabellenwerte um 5 mm verringert werden. Zu 2.1.1 und 2.1.2: Zwischenwerte dürfen geradlinig eingeschaltet werden. 2.2 Verschiebung aus quasistatischer Seitenneigung (zu 1.3)</w:t>
      </w:r>
    </w:p>
    <w:p>
      <w:r>
        <w:rPr>
          <w:rFonts w:ascii="Courier New" w:hAnsi="Courier New"/>
          <w:sz w:val="17"/>
        </w:rPr>
        <w:t xml:space="preserve">Höhe derBezugslinie    Verschiebung [*]bei Überhöhung oder Überhöhungsfehlbetragmm</w:t>
      </w:r>
    </w:p>
    <w:p>
      <w:r>
        <w:rPr>
          <w:rFonts w:ascii="Courier New" w:hAnsi="Courier New"/>
          <w:sz w:val="17"/>
        </w:rPr>
        <w:t xml:space="preserve">50    75    100    130    150    160</w:t>
      </w:r>
    </w:p>
    <w:p>
      <w:r>
        <w:rPr>
          <w:rFonts w:ascii="Courier New" w:hAnsi="Courier New"/>
          <w:sz w:val="17"/>
        </w:rPr>
        <w:t xml:space="preserve">mm    mm</w:t>
      </w:r>
    </w:p>
    <w:p>
      <w:r>
        <w:rPr>
          <w:rFonts w:ascii="Courier New" w:hAnsi="Courier New"/>
          <w:sz w:val="17"/>
        </w:rPr>
        <w:t xml:space="preserve">4680    0    28    56    90    112    123</w:t>
      </w:r>
    </w:p>
    <w:p>
      <w:r>
        <w:rPr>
          <w:rFonts w:ascii="Courier New" w:hAnsi="Courier New"/>
          <w:sz w:val="17"/>
        </w:rPr>
        <w:t xml:space="preserve">3835    0    23    45    72    89    98</w:t>
      </w:r>
    </w:p>
    <w:p>
      <w:r>
        <w:rPr>
          <w:rFonts w:ascii="Courier New" w:hAnsi="Courier New"/>
          <w:sz w:val="17"/>
        </w:rPr>
        <w:t xml:space="preserve">3530    0    21    41    65    81    89</w:t>
      </w:r>
    </w:p>
    <w:p>
      <w:r>
        <w:rPr>
          <w:rFonts w:ascii="Courier New" w:hAnsi="Courier New"/>
          <w:sz w:val="17"/>
        </w:rPr>
        <w:t xml:space="preserve">1170    0    5    9    15    18    20</w:t>
      </w:r>
    </w:p>
    <w:p>
      <w:r>
        <w:rPr>
          <w:rFonts w:ascii="Courier New" w:hAnsi="Courier New"/>
          <w:sz w:val="17"/>
        </w:rPr>
        <w:t xml:space="preserve">≤ 400    0    0    0    0    0    0</w:t>
      </w:r>
    </w:p>
    <w:p>
      <w:r>
        <w:t xml:space="preserve">Zwischenwerte dürfen geradlinig eingeschaltet werden.</w:t>
      </w:r>
    </w:p>
    <w:p>
      <w:r>
        <w:t xml:space="preserve">* Bei einem Neigungskoeffizienten s = 0,4</w:t>
      </w:r>
    </w:p>
    <w:p>
      <w:r>
        <w:t xml:space="preserve">2.3 Zufallsbedingte Verschiebung (zu 1.4)</w:t>
      </w:r>
    </w:p>
    <w:p>
      <w:r>
        <w:rPr>
          <w:rFonts w:ascii="Courier New" w:hAnsi="Courier New"/>
          <w:sz w:val="17"/>
        </w:rPr>
        <w:t xml:space="preserve">    Verschiebung</w:t>
      </w:r>
    </w:p>
    <w:p>
      <w:r>
        <w:rPr>
          <w:rFonts w:ascii="Courier New" w:hAnsi="Courier New"/>
          <w:sz w:val="17"/>
        </w:rPr>
        <w:t xml:space="preserve">Höhe derBezugslinie    bei nicht festgelegtemGleis    bei festgelegtemGleis    bei festgelegtem Gleisund einem Überhöhungs-oder Querhöhenfehler≤ 5 mm</w:t>
      </w:r>
    </w:p>
    <w:p>
      <w:r>
        <w:rPr>
          <w:rFonts w:ascii="Courier New" w:hAnsi="Courier New"/>
          <w:sz w:val="17"/>
        </w:rPr>
        <w:t xml:space="preserve">    a    b    a    b    a    b</w:t>
      </w:r>
    </w:p>
    <w:p>
      <w:r>
        <w:rPr>
          <w:rFonts w:ascii="Courier New" w:hAnsi="Courier New"/>
          <w:sz w:val="17"/>
        </w:rPr>
        <w:t xml:space="preserve">mm    mm</w:t>
      </w:r>
    </w:p>
    <w:p>
      <w:r>
        <w:rPr>
          <w:rFonts w:ascii="Courier New" w:hAnsi="Courier New"/>
          <w:sz w:val="17"/>
        </w:rPr>
        <w:t xml:space="preserve">4680    110    140    106    137    78    116</w:t>
      </w:r>
    </w:p>
    <w:p>
      <w:r>
        <w:rPr>
          <w:rFonts w:ascii="Courier New" w:hAnsi="Courier New"/>
          <w:sz w:val="17"/>
        </w:rPr>
        <w:t xml:space="preserve">3835    91    114    85    110    62    93</w:t>
      </w:r>
    </w:p>
    <w:p>
      <w:r>
        <w:rPr>
          <w:rFonts w:ascii="Courier New" w:hAnsi="Courier New"/>
          <w:sz w:val="17"/>
        </w:rPr>
        <w:t xml:space="preserve">3530    84    104    78    100    57    84</w:t>
      </w:r>
    </w:p>
    <w:p>
      <w:r>
        <w:rPr>
          <w:rFonts w:ascii="Courier New" w:hAnsi="Courier New"/>
          <w:sz w:val="17"/>
        </w:rPr>
        <w:t xml:space="preserve">1170    37    40    21    25    14    19</w:t>
      </w:r>
    </w:p>
    <w:p>
      <w:r>
        <w:rPr>
          <w:rFonts w:ascii="Courier New" w:hAnsi="Courier New"/>
          <w:sz w:val="17"/>
        </w:rPr>
        <w:t xml:space="preserve">≤ 400    30    31    6    6    2    3</w:t>
      </w:r>
    </w:p>
    <w:p>
      <w:r>
        <w:t xml:space="preserve">a: Auf der Bogeninnenseite b: Auf der Bogenaußenseite und im geraden Gleis 3 Die Höhenmaße der Grenzlinie sind — ausgenommen im Bereich ≤ 125 mm — aus den Höhenmaßen der Bezugslinie G 2 zu berechnen und 3.1 im Bereich ≥ 3530 mm zu vergrößern um</w:t>
      </w:r>
    </w:p>
    <w:p>
      <w:pPr>
        <w:ind w:left="420"/>
      </w:pPr>
      <w:r>
        <w:t xml:space="preserve">a) den Einfluß des Wechsels der Längsneigung und</w:t>
      </w:r>
    </w:p>
    <w:p>
      <w:pPr>
        <w:ind w:left="420"/>
      </w:pPr>
      <w:r>
        <w:t xml:space="preserve">b) die Hebungsreserve für die Unterhaltung des Gleises,</w:t>
      </w:r>
    </w:p>
    <w:p>
      <w:r>
        <w:t xml:space="preserve">3.2 im Bereich ≤ 1170 mm zu vermindern um</w:t>
      </w:r>
    </w:p>
    <w:p>
      <w:pPr>
        <w:ind w:left="420"/>
      </w:pPr>
      <w:r>
        <w:t xml:space="preserve">a) den Einfluß des Wechsels der Längsneigung und</w:t>
      </w:r>
    </w:p>
    <w:p>
      <w:pPr>
        <w:ind w:left="420"/>
      </w:pPr>
      <w:r>
        <w:t xml:space="preserve">b) die Abnutzung der Schienen und das Absinken des Gleises im Betrieb.</w:t>
      </w:r>
    </w:p>
    <w:p>
      <w:r>
        <w:t xml:space="preserve">Zu 3.1 und 3.2: Der Einfluß des Wechsels der Längsneigung wird wie folgt berechnet:</w:t>
      </w:r>
    </w:p>
    <w:p>
      <w:r>
        <w:rPr>
          <w:rFonts w:ascii="Courier New" w:hAnsi="Courier New"/>
          <w:sz w:val="17"/>
        </w:rPr>
        <w:t xml:space="preserve">50 000ra    [mm]</w:t>
      </w:r>
    </w:p>
    <w:p>
      <w:r>
        <w:rPr>
          <w:rFonts w:ascii="Courier New" w:hAnsi="Courier New"/>
          <w:sz w:val="17"/>
        </w:rPr>
        <w:t xml:space="preserve">ra = Ausrundungsradius in m</w:t>
      </w:r>
    </w:p>
    <w:p>
      <w:r>
        <w:t xml:space="preserve">4 Für die Höhenmaße der Grenzlinie im Bereich ≤ 125 mm gilt Anlage 1 Bild 2. 5 Bei Geschwindigkeiten von mehr als 160 km/h sind aerodynamische Einflüsse zu berücksichtigen.</w:t>
      </w:r>
    </w:p>
    <w:p>
      <w:r>
        <w:rPr>
          <w:color w:val="555555"/>
          <w:sz w:val="17"/>
        </w:rPr>
        <w:t xml:space="preserve">Zitiervorschlag: Anlage 2 EBO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https://recht.nulegal.eu/gesetze/EBO/anlage-2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