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EBO — Belastbarkeit des Oberbaus und der Bauwerke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Oberbau und Bauwerke müssen Fahrzeuge mit der jeweils zugelassenen Radsatzlast und dem jeweils zugelassenen Fahrzeuggewicht je Längeneinheit bei der zugelassenen Geschwindigkeit aufnehmen können, mindestens aber Fahrzeuge</w:t>
      </w:r>
    </w:p>
    <w:p>
      <w:r>
        <w:rPr>
          <w:rFonts w:ascii="Courier New" w:hAnsi="Courier New"/>
          <w:sz w:val="17"/>
        </w:rPr>
        <w:t xml:space="preserve">mit einer Radsatzlast von 18 t und einem Fahrzeuggewicht je Längeneinheit von 5,6t/m.    mit einer Radsatzlast von 16 t und einem Fahrzeuggewicht je Längeneinheit von 4,5 t/m. Ausnahmen von diesen Mindestwerten sind zulässig (§ 3 Abs. 1 Nr. 2).</w:t>
      </w:r>
    </w:p>
    <w:p>
      <w:r>
        <w:t xml:space="preserve">(2) Der Oberbau muß beim Neubau und bei der Erneuerung zusammenhängender Gleisabschnitte so hergestellt werden, daß er Radsatzlasten von</w:t>
      </w:r>
    </w:p>
    <w:p>
      <w:r>
        <w:rPr>
          <w:rFonts w:ascii="Courier New" w:hAnsi="Courier New"/>
          <w:sz w:val="17"/>
        </w:rPr>
        <w:t xml:space="preserve">mindestens 20 t    möglichst 18 t</w:t>
      </w:r>
    </w:p>
    <w:p>
      <w:r>
        <w:t xml:space="preserve">aufnehmen kann.</w:t>
      </w:r>
    </w:p>
    <w:p>
      <w:r>
        <w:t xml:space="preserve">(3) Bauwerke müssen beim Neubau und bei der Erneuerung mindestens für Radsatzlasten von 25 t und für Fahrzeuggewichte je Längeneinheit von 8 t/m bemessen werden. Bauwerke unter Gleisen, auf denen ausschließlich Stadtschnellbahnen verkehren, dürfen für geringere Lasten bemessen werden, mindestens jedoch für Radsatzlasten von 20 t und für Fahrzeuggewichte je Längeneinheit von 6 t/m.</w:t>
      </w:r>
    </w:p>
    <w:p>
      <w:r>
        <w:rPr>
          <w:color w:val="555555"/>
          <w:sz w:val="17"/>
        </w:rPr>
        <w:t xml:space="preserve">Zitiervorschlag: § 8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