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EBO — Gleisneigung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Längsneigung auf freier Strecke soll bei Neubauten</w:t>
      </w:r>
    </w:p>
    <w:p>
      <w:r>
        <w:rPr>
          <w:rFonts w:ascii="Courier New" w:hAnsi="Courier New"/>
          <w:sz w:val="17"/>
        </w:rPr>
        <w:t xml:space="preserve">12,5v.T.    40v.T.</w:t>
      </w:r>
    </w:p>
    <w:p>
      <w:r>
        <w:t xml:space="preserve">nicht überschreiten.</w:t>
      </w:r>
    </w:p>
    <w:p>
      <w:r>
        <w:t xml:space="preserve">(2) Die Längsneigung von Bahnhofsgleisen, ausgenommen Rangiergleise und solche Bahnhofsgleise, in denen die Güterzüge durch Schwerkraft aufgelöst oder gebildet werden, soll bei Neubauten 2,5v.T. nicht überschreiten.</w:t>
      </w:r>
    </w:p>
    <w:p>
      <w:r>
        <w:t xml:space="preserve">(3) Neigungswechsel in Hauptgleisen sind auszurunden.</w:t>
      </w:r>
    </w:p>
    <w:p>
      <w:r>
        <w:rPr>
          <w:color w:val="555555"/>
          <w:sz w:val="17"/>
        </w:rPr>
        <w:t xml:space="preserve">Zitiervorschlag: § 7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