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EBO — Inkrafttreten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28. Mai 1967 in Kraft.</w:t>
      </w:r>
    </w:p>
    <w:p>
      <w:r>
        <w:t xml:space="preserve">(2) Am gleichen Tag treten außer Kraft</w:t>
      </w:r>
    </w:p>
    <w:p>
      <w:pPr>
        <w:ind w:left="420"/>
      </w:pPr>
      <w:r>
        <w:t xml:space="preserve">3. die Eisenbahn-Befähigungsverordnung (EBefVO) vom 22. August 1957 (Bundesgesetzbl. II S. 1234).Die Befähigungsanforderungen für das Personal der unter die Eisenbahn-Bau- und Betriebsordnung für Schmalspurbahnen (BOS) vom 25. Juni 1943 (Reichsgesetzbl. II S. 285) fallenden Eisenbahnen richten sich bis zum Inkrafttreten einer Neuregelung nach den §§ 48 bis 54 und § 60 Abs. 3 dieser Verordnung.</w:t>
      </w:r>
    </w:p>
    <w:p>
      <w:r>
        <w:rPr>
          <w:color w:val="555555"/>
          <w:sz w:val="17"/>
        </w:rPr>
        <w:t xml:space="preserve">Zitiervorschlag: § 66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