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64 EBO — Beschädigen der Bahn und betriebsstörende Handlungen</w:t>
      </w:r>
    </w:p>
    <w:p>
      <w:r>
        <w:rPr>
          <w:color w:val="555555"/>
          <w:sz w:val="18"/>
        </w:rPr>
        <w:t xml:space="preserve">Eisenbahn-Bau- und Betriebsordnung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Es ist verboten, Bahnanlagen, Betriebseinrichtungen oder Fahrzeuge zu beschädigen oder zu verunreinigen, Schranken oder sonstige Sicherungseinrichtungen unerlaubt zu öffnen, Fahrthindernisse zu bereiten oder andere betriebsstörende oder betriebsgefährdende Handlungen vorzunehmen.</w:t>
      </w:r>
    </w:p>
    <w:p>
      <w:r>
        <w:rPr>
          <w:color w:val="555555"/>
          <w:sz w:val="17"/>
        </w:rPr>
        <w:t xml:space="preserve">Zitiervorschlag: § 64 EBO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https://recht.nulegal.eu/gesetze/EBO/64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