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EBO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Der Betrieb eines Triebfahrzeugs gemäß § 18 Absatz 4 mittels vollautomatisierter Fahrfunktion auf einer hierfür ausgerüsteten Strecke ist zulässig, wenn die Funktion bestimmungsgemäß verwendet wird und ein Betrieb mit mindestens gleicher Sicherheit gemäß § 2 Absatz 2 gewährleistet ist.</w:t>
      </w:r>
    </w:p>
    <w:p>
      <w:r>
        <w:t xml:space="preserve">(2) Vollautomatisierte Fahrfunktionen übernehmen die Fahraufgaben vollständig innerhalb des festgelegten Betriebsbereiches.</w:t>
      </w:r>
    </w:p>
    <w:p>
      <w:r>
        <w:t xml:space="preserve">(3) Für den Einsatz vollautomatisierter Fahrfunktionen ist im Rahmen der Abnahme nach § 32 nachzuweisen, dass die Auswirkungen technischer Störungen oder Fehlhandlungen beherrscht werden und die sichere Betriebsführung jederzeit gewährleistet bleibt.</w:t>
      </w:r>
    </w:p>
    <w:p>
      <w:r>
        <w:rPr>
          <w:color w:val="555555"/>
          <w:sz w:val="17"/>
        </w:rPr>
        <w:t xml:space="preserve">Zitiervorschlag: § 46 EBO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