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EBO — Fahrgeschwindigkeit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Geschwindigkeit, mit der ein Zug höchstens fahren darf (zulässige Geschwindigkeit), ist abhängig von</w:t>
      </w:r>
    </w:p>
    <w:p>
      <w:pPr>
        <w:ind w:left="420"/>
      </w:pPr>
      <w:r>
        <w:t xml:space="preserve">1. der Bauart der einzelnen Fahrzeuge,</w:t>
      </w:r>
    </w:p>
    <w:p>
      <w:pPr>
        <w:ind w:left="420"/>
      </w:pPr>
      <w:r>
        <w:t xml:space="preserve">2. der Art und Länge der Züge (§ 34),</w:t>
      </w:r>
    </w:p>
    <w:p>
      <w:pPr>
        <w:ind w:left="420"/>
      </w:pPr>
      <w:r>
        <w:t xml:space="preserve">3. den Bremsverhältnissen (§ 35),</w:t>
      </w:r>
    </w:p>
    <w:p>
      <w:pPr>
        <w:ind w:left="420"/>
      </w:pPr>
      <w:r>
        <w:t xml:space="preserve">4. den Streckenverhältnissen,</w:t>
      </w:r>
    </w:p>
    <w:p>
      <w:pPr>
        <w:ind w:left="420"/>
      </w:pPr>
      <w:r>
        <w:t xml:space="preserve">5. den betrieblichen Verhältnissen</w:t>
      </w:r>
    </w:p>
    <w:p>
      <w:r>
        <w:t xml:space="preserve">und von den Vorschriften der folgenden Absätze.</w:t>
      </w:r>
    </w:p>
    <w:p>
      <w:r>
        <w:t xml:space="preserve">(2) Die zulässige Geschwindigkeit beträgt</w:t>
      </w:r>
    </w:p>
    <w:p>
      <w:pPr>
        <w:ind w:left="420"/>
      </w:pPr>
      <w:r>
        <w:t xml:space="preserve">1. für Reisezüge mit durchgehender Bremse</w:t>
      </w:r>
    </w:p>
    <w:p>
      <w:r>
        <w:rPr>
          <w:rFonts w:ascii="Courier New" w:hAnsi="Courier New"/>
          <w:sz w:val="17"/>
        </w:rPr>
        <w:t xml:space="preserve">250 km/h,wenn Strecke und führende Fahrzeuge mit Zugbeeinflussung (§ 15 Absatz 3, § 28 Absatz 1 Nummer 5) ausgerüstet sind und diese wirksam ist, oder 160 km/h, wenn Strecke und führende Fahrzeuge mit Zugbeeinflussung (§ 15 Absatz 2 Satz 1, § 28 Absatz 1 Nummer 4) ausgerüstet sind und diese wirksam ist, sonst 50 km/h;    100 km/h,wenn die in den §§ 5, 6, 11, 15 Absatz 1, § 16 Absatz 1 und § 35 Absatz 4 genannten, für Hauptbahnen geltenden Vorschriften eingehalten sind, sonst 80 km/h; abweichend davon beträgt die zulässige Geschwindigkeit 50 km/h, wenn die Zugbeeinflussung der Strecke oder des führenden Fahrzeuges vorübergehend nicht wirksam ist oder bei Zugleitbetrieb die Sicherheit durch technische Einrichtungen vorübergehend nicht gewährleistet ist;</w:t>
      </w:r>
    </w:p>
    <w:p>
      <w:pPr>
        <w:ind w:left="420"/>
      </w:pPr>
      <w:r>
        <w:t xml:space="preserve">2. für Güterzüge mit durchgehender Bremse</w:t>
      </w:r>
    </w:p>
    <w:p>
      <w:r>
        <w:rPr>
          <w:rFonts w:ascii="Courier New" w:hAnsi="Courier New"/>
          <w:sz w:val="17"/>
        </w:rPr>
        <w:t xml:space="preserve">120 km/h,wenn Strecke und führende Fahrzeuge mit Zugbeeinflussung (§ 15 Absatz 2 Satz 1, § 28 Absatz 1 Nummer 4) ausgerüstet sind und diese wirksam ist, sonst 50 km/h;    80 km/h;abweichend davon beträgt die zulässige Geschwindigkeit 50 km/h, wenn die Zugbeeinflussung der Strecke oder des führenden Fahrzeuges vorübergehend nicht wirksam ist oder bei Zugleitbetrieb die Sicherheit durch technische Einrichtungen vorübergehend nicht gewährleistet ist;</w:t>
      </w:r>
    </w:p>
    <w:p>
      <w:pPr>
        <w:ind w:left="420"/>
      </w:pPr>
      <w:r>
        <w:t xml:space="preserve">3. für Züge ohne durchgehende Bremse 50 km/h.</w:t>
      </w:r>
    </w:p>
    <w:p>
      <w:r>
        <w:t xml:space="preserve">(3) Die zulässige Geschwindigkeit beträgt 50 km/h, wenn</w:t>
      </w:r>
    </w:p>
    <w:p>
      <w:pPr>
        <w:ind w:left="420"/>
      </w:pPr>
      <w:r>
        <w:t xml:space="preserve">1. führende Lokomotiven mit dem Tender voran fahren; Ausnahmen sind zulässig (§ 3 Abs. 1 Nr. 2);</w:t>
      </w:r>
    </w:p>
    <w:p>
      <w:pPr>
        <w:ind w:left="420"/>
      </w:pPr>
      <w:r>
        <w:t xml:space="preserve">2. andere führende Triebfahrzeuge sowie Steuerwagen ausnahmsweise vom hinteren Führerstand aus bedient werden müssen und der vordere Führerstand mit einem Betriebsbeamten besetzt ist, der den Zug zum Halten bringen kann;</w:t>
      </w:r>
    </w:p>
    <w:p>
      <w:pPr>
        <w:ind w:left="420"/>
      </w:pPr>
      <w:r>
        <w:t xml:space="preserve">3. bei einmännig besetzten führenden Fahrzeugen die Sicherheitsfahrschaltung gestört ist.</w:t>
      </w:r>
    </w:p>
    <w:p>
      <w:r>
        <w:t xml:space="preserve">(4) Geschobene Züge dürfen höchstens 30 km/h fahren,</w:t>
      </w:r>
    </w:p>
    <w:p>
      <w:r>
        <w:rPr>
          <w:rFonts w:ascii="Courier New" w:hAnsi="Courier New"/>
          <w:sz w:val="17"/>
        </w:rPr>
        <w:t xml:space="preserve">    über Bahnübergänge ohne technische Sicherung (vgl. § 11 Abs. 3) höchstens 20 km/h.</w:t>
      </w:r>
    </w:p>
    <w:p>
      <w:r>
        <w:t xml:space="preserve">(5) Nachgeschobene Züge dürfen höchstens 60 km/h fahren. Ist das nachschiebende Triebfahrzeug an die durchgehende Bremse angeschlossen, darf der Zug höchstens 80 km/h fahren.</w:t>
      </w:r>
    </w:p>
    <w:p>
      <w:r>
        <w:t xml:space="preserve">(6) Hilfszüge (z. B. Gerätewagen, Hilfslokomotiven) dürfen auch bei Dienstruhe verkehren, wenn ihre Geschwindigkeit höchstens 50 km/h beträgt. Bahnübergänge mit offenen Schranken sowie mit fernüberwachten oder nicht eingeschalteten Lichtzeichen oder Blinklichtern dürfen dabei ohne Sicherung durch Posten mit höchstens 10 km/h befahren werden.</w:t>
      </w:r>
    </w:p>
    <w:p>
      <w:r>
        <w:t xml:space="preserve">(7) In Gleisbogen darf die Geschwindigkeit betragen</w:t>
      </w:r>
    </w:p>
    <w:p>
      <w:pPr>
        <w:ind w:left="1500"/>
      </w:pPr>
      <w:r>
        <w:t xml:space="preserve">v = Wurzel aus r/11,8 x (u + u(tief)f)</w:t>
      </w:r>
    </w:p>
    <w:p>
      <w:pPr>
        <w:ind w:left="1500"/>
      </w:pPr>
      <w:r>
        <w:t xml:space="preserve">v = Geschwindigkeit in km/h</w:t>
      </w:r>
    </w:p>
    <w:p>
      <w:pPr>
        <w:ind w:left="1500"/>
      </w:pPr>
      <w:r>
        <w:t xml:space="preserve">r = Bogenradius in m</w:t>
      </w:r>
    </w:p>
    <w:p>
      <w:pPr>
        <w:ind w:left="1500"/>
      </w:pPr>
      <w:r>
        <w:t xml:space="preserve">u = Überhöhung in mm.</w:t>
      </w:r>
    </w:p>
    <w:p>
      <w:pPr>
        <w:ind w:left="1500"/>
      </w:pPr>
      <w:r>
        <w:t xml:space="preserve">u(tief)f = Überhöhungsfehlbetrag in mm</w:t>
      </w:r>
    </w:p>
    <w:p>
      <w:r>
        <w:t xml:space="preserve">Der Überhöhungsfehlbetrag ist in Abhängigkeit von der Beschaffenheit des Oberbaus, von der Bauart der Fahrzeuge sowie von der Ladung und deren Sicherung festzulegen; er soll nicht größer sein als 150 mm.</w:t>
      </w:r>
    </w:p>
    <w:p>
      <w:r>
        <w:t xml:space="preserve">(8) Für Probefahrten (Versuchszüge) sind Ausnahmen von vorstehenden Vorschriften zulässig (§ 3 Abs. 1 Nr. 2), ausgenommen von der Vorschrift in Absatz 6.</w:t>
      </w:r>
    </w:p>
    <w:p>
      <w:r>
        <w:rPr>
          <w:color w:val="555555"/>
          <w:sz w:val="17"/>
        </w:rPr>
        <w:t xml:space="preserve">Zitiervorschlag: § 40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