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EBO — Zug- und Stoßeinrichtungen</w:t>
      </w:r>
    </w:p>
    <w:p>
      <w:r>
        <w:rPr>
          <w:color w:val="555555"/>
          <w:sz w:val="18"/>
        </w:rPr>
        <w:t xml:space="preserve">Eisenbahn-Bau-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Fahrzeuge müssen an beiden Enden federnde Zug- und Stoßeinrichtungen haben.</w:t>
      </w:r>
    </w:p>
    <w:p>
      <w:r>
        <w:t xml:space="preserve">(2) Fahrzeuge, die im Betrieb dauernd verbunden bleiben, gelten hinsichtlich der Ausrüstung mit Zug- und Stoßeinrichtungen als nur ein Fahrzeug. Mehr als zwei Fahrzeuge dürfen nur mit besonderer Genehmigung (§ 3 Abs. 2) dauernd ohne Zwischenschaltung federnder Zug- und Stoßeinrichtungen verbunden werden.</w:t>
      </w:r>
    </w:p>
    <w:p>
      <w:r>
        <w:t xml:space="preserve">(3) Die Fahrzeuge sind in der Regel mit Schraubenkupplungen und Puffern nach Anlage 10 zu versehen; andere Zug- und Stoßeinrichtungen sind an Fahrzeugen für besondere Zwecke zulässig.</w:t>
      </w:r>
    </w:p>
    <w:p>
      <w:r>
        <w:t xml:space="preserve">(4)</w:t>
      </w:r>
    </w:p>
    <w:p>
      <w:r>
        <w:t xml:space="preserve">(5)</w:t>
      </w:r>
    </w:p>
    <w:p>
      <w:r>
        <w:t xml:space="preserve">(6)</w:t>
      </w:r>
    </w:p>
    <w:p>
      <w:r>
        <w:rPr>
          <w:color w:val="555555"/>
          <w:sz w:val="17"/>
        </w:rPr>
        <w:t xml:space="preserve">Zitiervorschlag: § 24 EBO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