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EBO — Begrenzung der Fahrzeuge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Für die Abmessungen der Fahrzeuge, die freizügig im grenzüberschreitenden Verkehr eingesetzt werden sollen, gilt die Bezugslinie G 1 nach Anlage 7, für die Abmessungen der übrigen Fahrzeuge die Bezugslinie G 2 nach Anlage 8. Die Bezugslinie nach Anlage 8 Bild 3 darf für Wagen nur mit besonderer Genehmigung (§ 3 Abs. 2) angewendet werden.</w:t>
      </w:r>
    </w:p>
    <w:p>
      <w:r>
        <w:t xml:space="preserve">(2) Für Fahrzeuge in besonderen Einsatzbereichen des Fernschnellverkehrs und der Stadtschnellbahnen sind Überschreitungen der Maße der Bezugslinien mit besonderer Genehmigung (§ 3 Abs. 2) zulässig.</w:t>
      </w:r>
    </w:p>
    <w:p>
      <w:r>
        <w:t xml:space="preserve">(3) Für die Berechnung der Fahrzeugabmessungen sind die Maße der Bezugslinien gemäß Anlage 9 einzuschränken.</w:t>
      </w:r>
    </w:p>
    <w:p>
      <w:r>
        <w:t xml:space="preserve">(4) Für gesenkte Stromabnehmer gilt die Bezugslinie, die dem Fahrzeug zugrunde liegt. Stromabnehmer in Arbeitsstellung müssen</w:t>
      </w:r>
    </w:p>
    <w:p>
      <w:pPr>
        <w:ind w:left="420"/>
      </w:pPr>
      <w:r>
        <w:t xml:space="preserve">1. die Grenzlinie bei Oberleitung (Anlage 3) einhalten oder</w:t>
      </w:r>
    </w:p>
    <w:p>
      <w:pPr>
        <w:ind w:left="420"/>
      </w:pPr>
      <w:r>
        <w:t xml:space="preserve">2. an Gleisen mit Stromschiene innerhalb des Raumes nach § 9 Abs. 4 bleiben.</w:t>
      </w:r>
    </w:p>
    <w:p>
      <w:r>
        <w:t xml:space="preserve">(5) Signalmittel und Rückspiegel dürfen die Fahrzeugbreite beiderseits um höchstens 50 mm überschreiten.</w:t>
      </w:r>
    </w:p>
    <w:p>
      <w:r>
        <w:t xml:space="preserve">(6) Sandstreuer und Bahnräumer dürfen in den von den Rädern bestrichenen Raum hineinragen.</w:t>
      </w:r>
    </w:p>
    <w:p>
      <w:r>
        <w:t xml:space="preserve">(7) Bremsteile, die unmittelbar auf die Schiene wirken, und Bremsklötze dürfen in den von den Rädern bestrichenen Raum hineinragen, wenn sie im Bereich zwischen den Radsätzen eines Drehgestells angebracht sind und die Wirksamkeit von Rangiereinrichtungen nicht beeinträchtigen.</w:t>
      </w:r>
    </w:p>
    <w:p>
      <w:r>
        <w:t xml:space="preserve">(8) Entkuppelte Schrauben- und Leitungskupplungen müssen so aufgehängt oder eingeschraubt werden können, daß sie nicht tiefer als 140 mm über Schienenoberkante herabreichen.</w:t>
      </w:r>
    </w:p>
    <w:p>
      <w:r>
        <w:rPr>
          <w:color w:val="555555"/>
          <w:sz w:val="17"/>
        </w:rPr>
        <w:t xml:space="preserve">Zitiervorschlag: § 22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