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EBO — Einteilung, Begriffserklärungen</w:t>
      </w:r>
    </w:p>
    <w:p>
      <w:r>
        <w:rPr>
          <w:color w:val="555555"/>
          <w:sz w:val="18"/>
        </w:rPr>
        <w:t xml:space="preserve">Eisenbahn-Bau- und Betriebsordnung</w:t>
      </w:r>
    </w:p>
    <w:p>
      <w:r>
        <w:rPr>
          <w:color w:val="555555"/>
          <w:sz w:val="18"/>
        </w:rPr>
        <w:t xml:space="preserve">Stand: 30.07.2026 (konsolidierte Textfassung, kein amtliches Inkrafttretensdatum)</w:t>
      </w:r>
    </w:p>
    <w:p>
      <w:r>
        <w:t xml:space="preserve">(1) Die Fahrzeuge werden entsprechend ihrer Zweckbestimmung nach Regelfahrzeugen und Nebenfahrzeugen unterschieden. Regelfahrzeuge müssen den nachstehenden Bauvorschriften entsprechen. Nebenfahrzeuge brauchen diesen Vorschriften nur insoweit zu entsprechen, als es für den Sonderzweck, dem sie dienen sollen, erforderlich ist.</w:t>
      </w:r>
    </w:p>
    <w:p>
      <w:r>
        <w:t xml:space="preserve">(2) Die Regelfahrzeuge werden nach Triebfahrzeugen und Wagen unterschieden.</w:t>
      </w:r>
    </w:p>
    <w:p>
      <w:r>
        <w:t xml:space="preserve">(3) Die Triebfahrzeuge werden eingeteilt in Lokomotiven, Triebwagen und Kleinlokomotiven.</w:t>
      </w:r>
    </w:p>
    <w:p>
      <w:r>
        <w:t xml:space="preserve">(4) Die Triebfahrzeuge werden entweder unmittelbar bedient oder werden gesteuert. Steuerung ist die Regelung der Antriebs- und Bremskraft durch eine Steuereinrichtung von einem führenden Fahrzeug aus, durch Fernsteuerung oder durch vollautomatisierte Systeme gemäß § 46.</w:t>
      </w:r>
    </w:p>
    <w:p>
      <w:r>
        <w:t xml:space="preserve">(5) Die Wagen werden eingeteilt in Reisezugwagen und Güterwagen. Zu den Reisezugwagen zählen Personen-, Reisezuggepäck-, Autoreisezug- und Postwagen. Zu den Güterwagen zählen auch die Güterzuggepäckwagen.</w:t>
      </w:r>
    </w:p>
    <w:p>
      <w:r>
        <w:rPr>
          <w:color w:val="555555"/>
          <w:sz w:val="17"/>
        </w:rPr>
        <w:t xml:space="preserve">Zitiervorschlag: § 18 EBO</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