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EBO — Fernmeldeanlagen</w:t>
      </w:r>
    </w:p>
    <w:p>
      <w:r>
        <w:rPr>
          <w:color w:val="555555"/>
          <w:sz w:val="18"/>
        </w:rPr>
        <w:t xml:space="preserve">Eisenbahn-Bau- und Betriebsordnung</w:t>
      </w:r>
    </w:p>
    <w:p>
      <w:r>
        <w:rPr>
          <w:color w:val="555555"/>
          <w:sz w:val="18"/>
        </w:rPr>
        <w:t xml:space="preserve">Stand: 13.03.2020 (konsolidierte Textfassung, kein amtliches Inkrafttretensdatum)</w:t>
      </w:r>
    </w:p>
    <w:p>
      <w:r>
        <w:rPr>
          <w:rFonts w:ascii="Courier New" w:hAnsi="Courier New"/>
          <w:sz w:val="17"/>
        </w:rPr>
        <w:t xml:space="preserve">(1) Zugfolgestellen    </w:t>
      </w:r>
    </w:p>
    <w:p>
      <w:r>
        <w:rPr>
          <w:rFonts w:ascii="Courier New" w:hAnsi="Courier New"/>
          <w:sz w:val="17"/>
        </w:rPr>
        <w:t xml:space="preserve">    und Zuglaufmeldestellen</w:t>
      </w:r>
    </w:p>
    <w:p>
      <w:r>
        <w:rPr>
          <w:rFonts w:ascii="Courier New" w:hAnsi="Courier New"/>
          <w:sz w:val="17"/>
        </w:rPr>
        <w:t xml:space="preserve">sind durch Fernmeldeanlagen zu verbinden. Schrankenposten und Streckenfernsprecher sind in die Verbindung einzuschalten.</w:t>
      </w:r>
    </w:p>
    <w:p>
      <w:r>
        <w:rPr>
          <w:rFonts w:ascii="Courier New" w:hAnsi="Courier New"/>
          <w:sz w:val="17"/>
        </w:rPr>
        <w:t xml:space="preserve">    Ausnahmen sind zulässig (§ 3 Abs. 1 Nr. 2).</w:t>
      </w:r>
    </w:p>
    <w:p>
      <w:r>
        <w:rPr>
          <w:rFonts w:ascii="Courier New" w:hAnsi="Courier New"/>
          <w:sz w:val="17"/>
        </w:rPr>
        <w:t xml:space="preserve">(2) Auf Strecken ohne Streckenblockeinrichtung,    </w:t>
      </w:r>
    </w:p>
    <w:p>
      <w:r>
        <w:rPr>
          <w:rFonts w:ascii="Courier New" w:hAnsi="Courier New"/>
          <w:sz w:val="17"/>
        </w:rPr>
        <w:t xml:space="preserve">    die von Reisezügen odervon Zügen mit mehr als 60 km/h befahren werden,</w:t>
      </w:r>
    </w:p>
    <w:p>
      <w:r>
        <w:rPr>
          <w:rFonts w:ascii="Courier New" w:hAnsi="Courier New"/>
          <w:sz w:val="17"/>
        </w:rPr>
        <w:t xml:space="preserve">sind fernmündliche Zugmeldungen durch Sprachspeicher aufzuzeichnen. Ausnahmen sind zulässig (§ 3 Abs. 1 Nr. 2).</w:t>
      </w:r>
    </w:p>
    <w:p>
      <w:r>
        <w:rPr>
          <w:rFonts w:ascii="Courier New" w:hAnsi="Courier New"/>
          <w:sz w:val="17"/>
        </w:rPr>
        <w:t xml:space="preserve">(3) Streckenfernsprecher sind auf freier Strecke einzubauen, soweit es erforderlich ist.</w:t>
      </w:r>
    </w:p>
    <w:p>
      <w:r>
        <w:rPr>
          <w:rFonts w:ascii="Courier New" w:hAnsi="Courier New"/>
          <w:sz w:val="17"/>
        </w:rPr>
        <w:t xml:space="preserve">(4) Strecken, die von Reisezügen befahren werden, sollen mit Zugfunkeinrichtungen ausgerüstet sein. Mit Zugfunkeinrichtungen müssen ausgerüstet sein</w:t>
      </w:r>
    </w:p>
    <w:p>
      <w:r>
        <w:rPr>
          <w:rFonts w:ascii="Courier New" w:hAnsi="Courier New"/>
          <w:sz w:val="17"/>
        </w:rPr>
        <w:t xml:space="preserve">1.Strecken, auf denen mehr als 160 km/h zugelassen sind,    </w:t>
      </w:r>
    </w:p>
    <w:p>
      <w:r>
        <w:rPr>
          <w:rFonts w:ascii="Courier New" w:hAnsi="Courier New"/>
          <w:sz w:val="17"/>
        </w:rPr>
        <w:t xml:space="preserve">2.Strecken ohne Streckenblockeinrichtungen, auf denena)Reisezüge oderb)Züge mit mehr als 60 km/hverkehren. Ausnahmen sind zulässig (§ 3 Abs. 1 Nr. 2).</w:t>
      </w:r>
    </w:p>
    <w:p>
      <w:r>
        <w:rPr>
          <w:rFonts w:ascii="Courier New" w:hAnsi="Courier New"/>
          <w:sz w:val="17"/>
        </w:rPr>
        <w:t xml:space="preserve">(5) Bahnsteige an Gleisen, die mit mehr als 160 km/h befahren werden, sollen mit Lautsprecheranlagen ausgerüstet sein.    </w:t>
      </w:r>
    </w:p>
    <w:p>
      <w:r>
        <w:rPr>
          <w:color w:val="555555"/>
          <w:sz w:val="17"/>
        </w:rPr>
        <w:t xml:space="preserve">Zitiervorschlag: § 16 EBO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https://recht.nulegal.eu/gesetze/EBO/16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