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EBO — Streckenblock, Zugbeeinflussung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(1) Auf Bahnen mit besonders dichter Zugfolge muß das Signal für die Fahrt in eine Blockstrecke unter Verschluß der nächsten Blockstelle liegen.    </w:t>
      </w:r>
    </w:p>
    <w:p>
      <w:r>
        <w:rPr>
          <w:rFonts w:ascii="Courier New" w:hAnsi="Courier New"/>
          <w:sz w:val="17"/>
        </w:rPr>
        <w:t xml:space="preserve">(2) Strecken    mit Signalen, die nach § 14 vorgeschrieben sind und auf denen mehr als 80 km/h zugelassen sind,</w:t>
      </w:r>
    </w:p>
    <w:p>
      <w:r>
        <w:rPr>
          <w:rFonts w:ascii="Courier New" w:hAnsi="Courier New"/>
          <w:sz w:val="17"/>
        </w:rPr>
        <w:t xml:space="preserve">müssen mit Zugbeeinflussung ausgerüstet sein, durch die ein Zug selbsttätig zum Halten gebracht und ein unzulässiges Anfahren gegen Halt zeigende Signale überwacht werden kann.</w:t>
      </w:r>
    </w:p>
    <w:p>
      <w:r>
        <w:rPr>
          <w:rFonts w:ascii="Courier New" w:hAnsi="Courier New"/>
          <w:sz w:val="17"/>
        </w:rPr>
        <w:t xml:space="preserve">    Strecken mit Signalen, die nach § 14 vorgeschrieben sind, auf denen 1.mehrere Züge gleichzeitig verkehren und2.Reisezugverkehr stattfindet oder mehr als 50 km/h zugelassen sind,müssen mit Zugbeeinflussung ausgerüstet sein, durch die ein Zug selbsttätig zum Halten gebracht werden kann. Zugleitstrecken, bei denen die Voraussetzungen des Satzes 2 Nummer 1 und 2 vorliegen, sind mit technischen Einrichtungen auszurüsten, durch die ein Zug selbsttätig zum Halten gebracht werden kann. Ausnahmen von Satz 2 und Satz 3 sind nach § 3 Absatz 1 Nummer 2 zulässig.</w:t>
      </w:r>
    </w:p>
    <w:p>
      <w:r>
        <w:rPr>
          <w:rFonts w:ascii="Courier New" w:hAnsi="Courier New"/>
          <w:sz w:val="17"/>
        </w:rPr>
        <w:t xml:space="preserve">(3) Strecken, auf denen mehr als 160 km/h zugelassen sind, müssen mit Zugbeeinflussung ausgerüstet sein, durch die ein Zug selbsttätig zum Halten gebracht und außerdem geführt werden kann.    </w:t>
      </w:r>
    </w:p>
    <w:p>
      <w:r>
        <w:t xml:space="preserve">(4) Für weitere Strecken können die zuständigen Eisenbahnaufsichtsbehörden die Ausrüstung mit Zugbeeinflussung oder technischen Einrichtungen vorschreiben, wenn die örtlichen Verhältnisse oder eine besondere Gefahrensituation dies erfordern.</w:t>
      </w:r>
    </w:p>
    <w:p>
      <w:r>
        <w:rPr>
          <w:color w:val="555555"/>
          <w:sz w:val="17"/>
        </w:rPr>
        <w:t xml:space="preserve">Zitiervorschlag: § 15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