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EBO — Höhengleiche Kreuzungen von Schienenbahnen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Neue höhengleiche Kreuzungen von Schienenbahnen dürfen außerhalb der Bahnhöfe oder der Hauptsignale von Abzweigstellen nicht angelegt werden. Für vorübergehend anzulegende Kreuzungen sind Ausnahmen zulässig (§ 3 Abs. 1 Nr. 2).</w:t>
      </w:r>
    </w:p>
    <w:p>
      <w:r>
        <w:t xml:space="preserve">(2) Wie bei höhengleichen Kreuzungen von Schienenbahnen der Betrieb zu führen ist, bestimmen</w:t>
      </w:r>
    </w:p>
    <w:p>
      <w:pPr>
        <w:ind w:left="420"/>
      </w:pPr>
      <w:r>
        <w:t xml:space="preserve">1. für Eisenbahnen des Bundes das Eisenbahn-Bundesamt,</w:t>
      </w:r>
    </w:p>
    <w:p>
      <w:pPr>
        <w:ind w:left="420"/>
      </w:pPr>
      <w:r>
        <w:t xml:space="preserve">2. für die nichtbundeseigenen Eisenbahnen die zuständige Landesbehörde.</w:t>
      </w:r>
    </w:p>
    <w:p>
      <w:r>
        <w:rPr>
          <w:color w:val="555555"/>
          <w:sz w:val="17"/>
        </w:rPr>
        <w:t xml:space="preserve">Zitiervorschlag: § 12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