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EBO — Geltungsbereich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regelspurige Eisenbahnen. Sie gilt nicht für den Bau, den Betrieb oder die Benutzung der Bahnanlagen eines nichtöffentlichen Eisenbahninfrastrukturunternehmens.</w:t>
      </w:r>
    </w:p>
    <w:p>
      <w:r>
        <w:t xml:space="preserve">(2) Die Strecken werden entsprechend ihrer Bedeutung nach Hauptbahnen und Nebenbahnen unterschieden. Die Entscheidung darüber, welche Strecken Hauptbahnen und welche Nebenbahnen sind, treffen</w:t>
      </w:r>
    </w:p>
    <w:p>
      <w:pPr>
        <w:ind w:left="420"/>
      </w:pPr>
      <w:r>
        <w:t xml:space="preserve">1. für die Eisenbahnen des Bundes das jeweilige Unternehmen,</w:t>
      </w:r>
    </w:p>
    <w:p>
      <w:pPr>
        <w:ind w:left="420"/>
      </w:pPr>
      <w:r>
        <w:t xml:space="preserve">2. für Eisenbahnen, die nicht zum Netz der Eisenbahnen des Bundes gehören (nichtbundeseigene Eisenbahnen), die zuständige Landesbehörde.</w:t>
      </w:r>
    </w:p>
    <w:p>
      <w:r>
        <w:t xml:space="preserve">(3) Die in voller Breite einer Seite gedruckten Vorschriften dieser Verordnung gelten für Haupt- und Nebenbahnen,</w:t>
      </w:r>
    </w:p>
    <w:p>
      <w:r>
        <w:rPr>
          <w:rFonts w:ascii="Courier New" w:hAnsi="Courier New"/>
          <w:sz w:val="17"/>
        </w:rPr>
        <w:t xml:space="preserve">die auf der linken Hälfte einer Seite nur für Hauptbahnen.    die auf der rechten Hälfte einer Seite nur für Nebenbahnen.</w:t>
      </w:r>
    </w:p>
    <w:p>
      <w:r>
        <w:t xml:space="preserve">(4) Die Vorschriften für Neubauten gelten auch für umfassende Umbauten bestehender Bahnanlagen und Fahrzeuge; sie sollen auch bei der Unterhaltung und Erneuerung berücksichtigt werden.</w:t>
      </w:r>
    </w:p>
    <w:p>
      <w:r>
        <w:rPr>
          <w:color w:val="555555"/>
          <w:sz w:val="17"/>
        </w:rPr>
        <w:t xml:space="preserve">Zitiervorschlag: § 1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