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Wenn an der Kreuzung ein Schienenweg einer Eisenbahn des Bundes beteiligt ist, entscheidet als Anordnungsbehörde das Bundesministerium für Verkehr im Benehmen mit der nach Landesrecht zuständigen Behörde.</w:t>
      </w:r>
    </w:p>
    <w:p>
      <w:r>
        <w:t xml:space="preserve">(2) In sonstigen Fällen entscheidet als Anordnungsbehörde die nach Landesrecht zuständige Behörde.</w:t>
      </w:r>
    </w:p>
    <w:p>
      <w:r>
        <w:rPr>
          <w:color w:val="555555"/>
          <w:sz w:val="17"/>
        </w:rPr>
        <w:t xml:space="preserve">Zitiervorschlag: § 8 EBKrG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