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EBKrG</w:t>
      </w:r>
    </w:p>
    <w:p>
      <w:r>
        <w:rPr>
          <w:color w:val="555555"/>
          <w:sz w:val="18"/>
        </w:rPr>
        <w:t xml:space="preserve">Eisenbahnkreuzungsgesetz</w:t>
      </w:r>
    </w:p>
    <w:p>
      <w:r>
        <w:rPr>
          <w:color w:val="555555"/>
          <w:sz w:val="18"/>
        </w:rPr>
        <w:t xml:space="preserve">Stand: 10.06.2019 (konsolidierte Textfassung, kein amtliches Inkrafttretensdatum)</w:t>
      </w:r>
    </w:p>
    <w:p>
      <w:r>
        <w:t xml:space="preserve">(1) Erfordert die Linienführung einer neu zu bauenden Straße oder Eisenbahn eine Kreuzung, so hat der andere Beteiligte die neue Kreuzungsanlage zu dulden. Seine verkehrlichen und betrieblichen Belange sind angemessen zu berücksichtigen.</w:t>
      </w:r>
    </w:p>
    <w:p>
      <w:r>
        <w:t xml:space="preserve">(2) Ist eine Kreuzungsanlage durch eine Maßnahme nach § 3 zu ändern, so haben die Beteiligten die Änderung zu dulden. Ihre verkehrlichen und betrieblichen Belange sind angemessen zu berücksichtigen.</w:t>
      </w:r>
    </w:p>
    <w:p>
      <w:r>
        <w:rPr>
          <w:color w:val="555555"/>
          <w:sz w:val="17"/>
        </w:rPr>
        <w:t xml:space="preserve">Zitiervorschlag: § 4 EBKrG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