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EBKrG</w:t>
      </w:r>
    </w:p>
    <w:p>
      <w:r>
        <w:rPr>
          <w:color w:val="555555"/>
          <w:sz w:val="18"/>
        </w:rPr>
        <w:t xml:space="preserve">Eisenbahnkreuzungsgesetz</w:t>
      </w:r>
    </w:p>
    <w:p>
      <w:r>
        <w:rPr>
          <w:color w:val="555555"/>
          <w:sz w:val="18"/>
        </w:rPr>
        <w:t xml:space="preserve">Stand: 31.07.2026 (konsolidierte Textfassung, kein amtliches Inkrafttretensdatum)</w:t>
      </w:r>
    </w:p>
    <w:p>
      <w:r>
        <w:t xml:space="preserve">§ 13 Absatz 2 Satz 2 kommt nicht zur Anwendung für Maßnahmen, über die die Beteiligten nach § 1 Absatz 6 des Eisenbahnkreuzungsgesetzes vor dem 1. Januar 2022 eine Vereinbarung getroffen haben. Für Vereinbarungen, die bis zu drei Monate nach dem 29. Juli 2026 geschlossen werden, gelten die Vorschriften dieses Gesetzes in der bis einschließlich 28. Juli 2026 geltenden Fassung.</w:t>
      </w:r>
    </w:p>
    <w:p>
      <w:r>
        <w:rPr>
          <w:color w:val="555555"/>
          <w:sz w:val="17"/>
        </w:rPr>
        <w:t xml:space="preserve">Zitiervorschlag: § 20 EBKrG</w:t>
      </w:r>
    </w:p>
    <w:p>
      <w:r>
        <w:rPr>
          <w:color w:val="555555"/>
          <w:sz w:val="17"/>
        </w:rPr>
        <w:t xml:space="preserve">Quelle: Bundesamt für Justiz, abgerufen 31.07.2026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https://recht.nulegal.eu/gesetze/EBKrG/20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