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Neue Kreuzungen von Eisenbahnen und Straßen, die nach der Beschaffenheit ihrer Fahrbahn geeignet und dazu bestimmt sind, einen allgemeinen Kraftfahrzeugverkehr aufzunehmen, sind als Überführungen herzustellen.</w:t>
      </w:r>
    </w:p>
    <w:p>
      <w:r>
        <w:t xml:space="preserve">(2) In Einzelfällen, insbesondere bei schwachem Verkehr, kann die Anordnungsbehörde Ausnahmen zulassen. Dabei kann angeordnet werden, welche Sicherungsmaßnahmen an der Kreuzung mindestens zu treffen sind.</w:t>
      </w:r>
    </w:p>
    <w:p>
      <w:r>
        <w:t xml:space="preserve">(3) Eine Kreuzung im Sinne des Absatzes 1 ist neu, wenn einer der beiden Verkehrswege oder beide Verkehrswege neu angelegt werden.</w:t>
      </w:r>
    </w:p>
    <w:p>
      <w:r>
        <w:rPr>
          <w:color w:val="555555"/>
          <w:sz w:val="17"/>
        </w:rPr>
        <w:t xml:space="preserve">Zitiervorschlag: § 2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