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EBKrG</w:t>
      </w:r>
    </w:p>
    <w:p>
      <w:r>
        <w:rPr>
          <w:color w:val="555555"/>
          <w:sz w:val="18"/>
        </w:rPr>
        <w:t xml:space="preserve">Eisenbahnkreuzungsgesetz</w:t>
      </w:r>
    </w:p>
    <w:p>
      <w:r>
        <w:rPr>
          <w:color w:val="555555"/>
          <w:sz w:val="18"/>
        </w:rPr>
        <w:t xml:space="preserve">Stand: 10.06.2019 (konsolidierte Textfassung, kein amtliches Inkrafttretensdatum)</w:t>
      </w:r>
    </w:p>
    <w:p>
      <w:r>
        <w:t xml:space="preserve">(1) Bisherige Vereinbarungen, die sich auf Kreuzungen zwischen Straßen und Straßenbahnen, Anschlußbahnen sowie den Anschlußbahnen gleichgestellte Eisenbahnen beziehen, gelten fort.</w:t>
      </w:r>
    </w:p>
    <w:p>
      <w:r>
        <w:t xml:space="preserve">(2) Die bisherige Kostenregelung für Erhaltungsmaßnahmen, die bei Inkrafttreten des Eisenbahnneuordnungsgesetzes vom 27. Dezember 1993 (BGBl. I S. 2378) bereits in der Ausführung begriffen sind, bleibt bestehen.</w:t>
      </w:r>
    </w:p>
    <w:p>
      <w:r>
        <w:t xml:space="preserve">(3) Soweit aufgrund von Artikel 6 Abs. 106 Nr. 4 des Eisenbahnneuordnungsgesetzes die Erhaltungslast für eine Straßenüberführung auf den Straßenbaulastträger übergegangen ist, hat der Eisenbahnunternehmer dafür einzustehen, daß er die Straßenüberführung in dem durch die Verkehrsbedeutung gebotenen Umfang ordnungsgemäß erhalten und den erforderlichen Grunderwerb durchgeführt hat. Als ordnungsgemäßer Erhaltungszustand gilt eine entsprechend seinen Vorschriften durchgeführte Unterhaltung der Straßenüberführung bis zum Zeitpunkt des gesetzlichen Übergangs der Baulast.</w:t>
      </w:r>
    </w:p>
    <w:p>
      <w:r>
        <w:rPr>
          <w:color w:val="555555"/>
          <w:sz w:val="17"/>
        </w:rPr>
        <w:t xml:space="preserve">Zitiervorschlag: § 19 EBKrG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https://recht.nulegal.eu/gesetze/EBKrG/19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