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EBKrG</w:t>
      </w:r>
    </w:p>
    <w:p>
      <w:r>
        <w:rPr>
          <w:color w:val="555555"/>
          <w:sz w:val="18"/>
        </w:rPr>
        <w:t xml:space="preserve">Eisenbahnkreuzungsgesetz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Aufsichtsbehörden haben die Durchführung der Anordnung nach diesem Gesetz sicherzustellen.</w:t>
      </w:r>
    </w:p>
    <w:p>
      <w:r>
        <w:rPr>
          <w:color w:val="555555"/>
          <w:sz w:val="17"/>
        </w:rPr>
        <w:t xml:space="preserve">Zitiervorschlag: § 18 EBKrG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https://recht.nulegal.eu/gesetze/EBKrG/18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