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Das Bundesministerium für Verkehr kann mit Zustimmung des Bundesrates Rechtsverordnungen erlassen, durch die</w:t>
      </w:r>
    </w:p>
    <w:p>
      <w:pPr>
        <w:ind w:left="420"/>
      </w:pPr>
      <w:r>
        <w:t xml:space="preserve">1. der Umfang der Kosten nach den §§ 11, 12 und 13 näher bestimmt wird und für die Verwaltungskosten Pauschalbeträge festgesetzt werden;</w:t>
      </w:r>
    </w:p>
    <w:p>
      <w:pPr>
        <w:ind w:left="420"/>
      </w:pPr>
      <w:r>
        <w:t xml:space="preserve">2. bestimmt wird, wie die bei getrennter Durchführung der Maßnahmen nach § 12 Absatz 1 Nummer 2 und 3 entstehenden Kosten unter Anwendung von Erfahrungswerten für die Baukosten in vereinfachter Form ermittelt werden;</w:t>
      </w:r>
    </w:p>
    <w:p>
      <w:pPr>
        <w:ind w:left="420"/>
      </w:pPr>
      <w:r>
        <w:t xml:space="preserve">3. die Berechnung und die Zahlung von Ablösungsbeträgen nach § 15 Abs. 4 näher bestimmt sowie dazu ein Verfahren zur gütlichen Beilegung von Streitigkeiten festgelegt werden,</w:t>
      </w:r>
    </w:p>
    <w:p>
      <w:pPr>
        <w:ind w:left="420"/>
      </w:pPr>
      <w:r>
        <w:t xml:space="preserve">4. bei neuartigen Anlagen, die nicht von § 14 Abs. 2 erfaßt werden, bestimmt wird, ob sie zu den Eisenbahn- oder zu den Straßenanlagen gehören.</w:t>
      </w:r>
    </w:p>
    <w:p>
      <w:r>
        <w:t xml:space="preserve">(2) Allgemeine Verwaltungsvorschriften erläßt das Bundesministerium für Verkehr mit Zustimmung des Bundesrates.</w:t>
      </w:r>
    </w:p>
    <w:p>
      <w:r>
        <w:rPr>
          <w:color w:val="555555"/>
          <w:sz w:val="17"/>
        </w:rPr>
        <w:t xml:space="preserve">Zitiervorschlag: § 16 EBKrG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