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EBKrG</w:t>
      </w:r>
    </w:p>
    <w:p>
      <w:r>
        <w:rPr>
          <w:color w:val="555555"/>
          <w:sz w:val="18"/>
        </w:rPr>
        <w:t xml:space="preserve">Eisenbahnkreuzungsgesetz</w:t>
      </w:r>
    </w:p>
    <w:p>
      <w:r>
        <w:rPr>
          <w:color w:val="555555"/>
          <w:sz w:val="18"/>
        </w:rPr>
        <w:t xml:space="preserve">Stand: 31.07.2026 (konsolidierte Textfassung, kein amtliches Inkrafttretensdatum)</w:t>
      </w:r>
    </w:p>
    <w:p>
      <w:r>
        <w:t xml:space="preserve">(1) Wird eine neue Kreuzung hergestellt, so hat im Fall des § 11 Abs. 1 der Beteiligte, dessen Verkehrsweg neu hinzukommt, die hierdurch verursachten Erhaltungs- und Betriebskosten dem anderen Beteiligten zu erstatten. Im Fall des § 11 Abs. 2 hat jeder Beteiligte seine Erhaltungs- und Betriebskosten ohne Ausgleich zu tragen.</w:t>
      </w:r>
    </w:p>
    <w:p>
      <w:r>
        <w:t xml:space="preserve">(2) Wird an einer Überführung eine Maßnahme nach § 3 durchgeführt, so hat der Beteiligte, der nach § 12 Absatz 1 Nummer 1 bis Nummer 3 die Maßnahme verlangt oder sie im Fall einer Anordnung hätte verlangen müssen, dem anderen Beteiligten die hierdurch verursachten Erhaltungskosten zu erstatten. Dient die Überführung der Kreuzung einer Eisenbahn des Bundes mit einer Bundesfernstraße in der Baulast des Bundes und verlangen beide Beteiligte eine Änderung oder hätten sie im Falle einer Anordnung verlangen müssen, hat jeder Beteiligte seine Erhaltungs- und Betriebskosten ohne Ausgleich zu tragen. Ist die Erneuerung der Überführung ausschließlich durch das Verlangen desjenigen Beteiligten erforderlich, in dessen Baulast das Bauwerk steht, trägt er die Erhaltungs- und Betriebskosten ohne Ausgleich.</w:t>
      </w:r>
    </w:p>
    <w:p>
      <w:r>
        <w:t xml:space="preserve">(3) Wird an einem Bahnübergang eine Maßnahme nach § 3 durchgeführt, so hat jeder Beteiligte seine veränderten Erhaltungs- und Betriebskosten ohne Ausgleich zu tragen.</w:t>
      </w:r>
    </w:p>
    <w:p>
      <w:r>
        <w:t xml:space="preserve">(4) In den Fällen des Absatzes 1 Satz 1 sowie des Absatzes 2 Satz 1 ist auf Verlangen eines Beteiligten die Erhaltungs- und Betriebslast abzulösen.</w:t>
      </w:r>
    </w:p>
    <w:p>
      <w:r>
        <w:rPr>
          <w:color w:val="555555"/>
          <w:sz w:val="17"/>
        </w:rPr>
        <w:t xml:space="preserve">Zitiervorschlag: § 15 EBKrG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