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14a EBKrG</w:t>
      </w:r>
    </w:p>
    <w:p>
      <w:r>
        <w:rPr>
          <w:color w:val="555555"/>
          <w:sz w:val="18"/>
        </w:rPr>
        <w:t xml:space="preserve">Eisenbahnkreuzungsgesetz</w:t>
      </w:r>
    </w:p>
    <w:p>
      <w:r>
        <w:rPr>
          <w:color w:val="555555"/>
          <w:sz w:val="18"/>
        </w:rPr>
        <w:t xml:space="preserve">Stand: 01.07.2021 (konsolidierte Textfassung, kein amtliches Inkrafttretensdatum)</w:t>
      </w:r>
    </w:p>
    <w:p>
      <w:r>
        <w:t xml:space="preserve">(1) Wird die Straße eingezogen oder der Betrieb der Eisenbahn dauernd eingestellt, so bleiben die Beteiligten verpflichtet, die Kreuzungsanlagen in dem Umfang zu erhalten und in Betrieb zu halten, wie es die Sicherheit oder Abwicklung des Verkehrs auf dem bleibenden Verkehrsweg erfordert. Eine nach den Vorschriften des Eisenbahnrechts genehmigte Betriebseinstellung gilt nicht als dauernd im Sinne dieser Vorschrift, wenn sie mit der Verpflichtung zur weiteren Vorhaltung der Anlagen verbunden ist. Die Einziehung der Straße oder die dauernde Einstellung des Betriebs der Eisenbahn ist dem anderen Beteiligten unverzüglich mitzuteilen.</w:t>
      </w:r>
    </w:p>
    <w:p>
      <w:r>
        <w:t xml:space="preserve">(2) Der im Zeitpunkt der Einziehung oder dauernden Betriebseinstellung erhaltungspflichtige Beteiligte oder sein Rechtsnachfolger hat Kreuzungsanlagen auf seine Kosten zu beseitigen, soweit und sobald es die Sicherheit oder Abwicklung des Verkehrs auf dem bleibenden Verkehrsweg erfordert.</w:t>
      </w:r>
    </w:p>
    <w:p>
      <w:r>
        <w:t xml:space="preserve">(3) Die Verpflichtungen gemäß den Absätzen 1 und 2 kann der weichende Beteiligte vertraglich auf den bleibenden Beteiligten gegen Erstattung der Rückbaukosten übertragen.</w:t>
      </w:r>
    </w:p>
    <w:p>
      <w:r>
        <w:t xml:space="preserve">(4) Die Beteiligten haben Maßnahmen nach den Absätzen 1 und 2 zu dulden.</w:t>
      </w:r>
    </w:p>
    <w:p>
      <w:r>
        <w:t xml:space="preserve">(5) Die Verpflichtungen des weichenden Beteiligten aus den Absätzen 1 und 2 erlöschen, wenn die Kreuzungsanlage beseitigt worden ist oder der weichende Beteiligte die Verpflichtungen in einer Vereinbarung gemäß Absatz 3 auf den bleibenden Beteiligten übertragen hat.</w:t>
      </w:r>
    </w:p>
    <w:p>
      <w:r>
        <w:t xml:space="preserve">(6) Der weichende Beteiligte hat dem bleibenden Beteiligten auf dessen Antrag sein Eigentum an solchen Grundstücken, die schon bisher von dem bleibenden Beteiligten benutzt worden sind oder die für die Verbesserung des bleibenden Verkehrswegs benötigt werden, mit allen Rechten und Pflichten zu übertragen. Für die Übertragung des Eigentums ist eine angemessene Entschädigung in Geld zu gewähren, wobei der Verkehrswert des Grundstücks zugrunde zu legen ist.</w:t>
      </w:r>
    </w:p>
    <w:p>
      <w:r>
        <w:rPr>
          <w:color w:val="555555"/>
          <w:sz w:val="17"/>
        </w:rPr>
        <w:t xml:space="preserve">Zitiervorschlag: § 14a EBKrG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https://recht.nulegal.eu/gesetze/EBKrG/14a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