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EBKrG</w:t>
      </w:r>
    </w:p>
    <w:p>
      <w:r>
        <w:rPr>
          <w:color w:val="555555"/>
          <w:sz w:val="18"/>
        </w:rPr>
        <w:t xml:space="preserve">Eisenbahnkreuzungsgesetz</w:t>
      </w:r>
    </w:p>
    <w:p>
      <w:r>
        <w:rPr>
          <w:color w:val="555555"/>
          <w:sz w:val="18"/>
        </w:rPr>
        <w:t xml:space="preserve">Stand: 01.07.2021 (konsolidierte Textfassung, kein amtliches Inkrafttretensdatum)</w:t>
      </w:r>
    </w:p>
    <w:p>
      <w:r>
        <w:t xml:space="preserve">(1) Wird an einem Bahnübergang eine Maßnahme nach § 3 durchgeführt, so tragen die Beteiligten je ein Drittel der Kosten. Das letzte Drittel der Kosten trägt bei Kreuzungen mit einem Schienenweg einer Eisenbahn des Bundes der Bund, bei Kreuzungen mit einem Schienenweg einer nicht-bundeseigenen Eisenbahn das Land.</w:t>
      </w:r>
    </w:p>
    <w:p>
      <w:r>
        <w:t xml:space="preserve">(2) Bei Kreuzungen einer Eisenbahn des Bundes mit einer Straße in kommunaler Baulast trägt der Bund die Hälfte, die Eisenbahn des Bundes ein Drittel und das Land, in dem die Kreuzung liegt, ein Sechstel der Kosten. Bei Kreuzungen einer nichtbundeseigenen Eisenbahn mit einer Straße in kommunaler Baulast trägt das Land, in dem die Kreuzung liegt, zwei Drittel und die nichtbundeseigene Eisenbahn ein Drittel der Kosten. In Berlin und in der Freien und Hansestadt Hamburg gelten alle öffentlichen Straßen, die nicht in der Baulast des Bundes stehen, als Straßen in kommunaler Baulast.</w:t>
      </w:r>
    </w:p>
    <w:p>
      <w:r>
        <w:t xml:space="preserve">(3) Wird zur verkehrlichen Entlastung eines Bahnübergangs ohne dessen Änderung eine Baumaßnahme nach § 3 Nr. 2 durchgeführt, durch die sich eine sonst notwendige Änderung des Bahnübergangs erübrigt, so gehören zu den Kosten nach Absatz 1 nur die Kosten, die sich bei Vornahme der ersparten Änderung ergeben würden. Die übrigen Kosten trägt derjenige Beteiligte allein, an dessen Verkehrsweg die Baumaßnahme durchgeführt wird.</w:t>
      </w:r>
    </w:p>
    <w:p>
      <w:r>
        <w:rPr>
          <w:color w:val="555555"/>
          <w:sz w:val="17"/>
        </w:rPr>
        <w:t xml:space="preserve">Zitiervorschlag: § 13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