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EBIZustV</w:t>
      </w:r>
    </w:p>
    <w:p>
      <w:r>
        <w:rPr>
          <w:color w:val="555555"/>
          <w:sz w:val="18"/>
        </w:rPr>
        <w:t xml:space="preserve">EBI-Zuständigkeitsverordnung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Auf Grund des § 36 Absatz 3 des Gesetzes über Ordnungswidrigkeiten in der Fassung der Bekanntmachung vom 19. Februar 1987 (BGBl. I S. 602), der zuletzt durch Artikel 1 des Gesetzes vom 26. Januar 1998 (BGBl. I S. 156) geändert worden ist, verordnet das Bundesministerium des Innern:</w:t>
      </w:r>
    </w:p>
    <w:p>
      <w:r>
        <w:rPr>
          <w:color w:val="555555"/>
          <w:sz w:val="17"/>
        </w:rPr>
        <w:t xml:space="preserve">Zitiervorschlag: Eingangsformel EBIZustV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