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EBIZustV — Zuständigkeit</w:t>
      </w:r>
    </w:p>
    <w:p>
      <w:r>
        <w:rPr>
          <w:color w:val="555555"/>
          <w:sz w:val="18"/>
        </w:rPr>
        <w:t xml:space="preserve">EBI-Zuständigkeitsverordnung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 Zuständigkeit für die Verfolgung und Ahndung von Ordnungswidrigkeiten nach § 5 des Gesetzes zur Europäischen Bürgerinitiative vom 7. März 2012 (BGBl. I S. 446) wird auf das Bundesverwaltungsamt übertragen.</w:t>
      </w:r>
    </w:p>
    <w:p>
      <w:r>
        <w:rPr>
          <w:color w:val="555555"/>
          <w:sz w:val="17"/>
        </w:rPr>
        <w:t xml:space="preserve">Zitiervorschlag: § 1 EBIZustV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