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EBIG — Bußgeldvorschriften</w:t>
      </w:r>
    </w:p>
    <w:p>
      <w:r>
        <w:rPr>
          <w:color w:val="555555"/>
          <w:sz w:val="18"/>
        </w:rPr>
        <w:t xml:space="preserve">Gesetz zur Europäischen Bürgerinitiative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die Anzahl der von deutschen Staatsangehörigen gesammelten Unterstützungsbekundungen einer Europäischen Bürgerinitiative erhöht, indem er eine Unterstützungsbekundung nach Artikel 9 Absatz 6 in Verbindung mit Anhang III der Verordnung (EU) 2019/788 des Europäischen Parlaments und des Rates vom 17. April 2019 über die Europäische Bürgerinitiative (ABl. L 130 vom 17.5.2019, S. 55; L 334 vom 27.12.2019, S. 168; L 424 vom 15.12.2020, S. 60), die durch die Delegierte Verordnung (EU) 2019/1673 (ABl. L 257 vom 8.10.2019, S. 1) geändert worden ist, abgibt und dabei</w:t>
      </w:r>
    </w:p>
    <w:p>
      <w:pPr>
        <w:ind w:left="420"/>
      </w:pPr>
      <w:r>
        <w:t xml:space="preserve">1. eigene personenbezogene Daten mehrfach verwendet oder</w:t>
      </w:r>
    </w:p>
    <w:p>
      <w:pPr>
        <w:ind w:left="420"/>
      </w:pPr>
      <w:r>
        <w:t xml:space="preserve">2. fremde oder fiktive personenbezogene Daten verwendet.</w:t>
      </w:r>
    </w:p>
    <w:p>
      <w:r>
        <w:t xml:space="preserve">(2) Ordnungswidrig handelt, wer vorsätzlich oder fahrlässig eine in Anhang V Nummer 1 bis 4 oder 5 oder Anhang VII Nummer 1 bis 6 oder 7 der Verordnung (EU) 2019/788 genannte Angabe nicht richtig macht.</w:t>
      </w:r>
    </w:p>
    <w:p>
      <w:r>
        <w:t xml:space="preserve">(3) Die Ordnungswidrigkeit kann in den Fällen des Absatzes 1 Nummer 2 mit einer Geldbuße bis zu hunderttausend Euro, in den übrigen Fällen mit einer Geldbuße bis zu fünfzigtausend Euro geahndet werden.</w:t>
      </w:r>
    </w:p>
    <w:p>
      <w:r>
        <w:t xml:space="preserve">(4) Verwaltungsbehörde im Sinne des § 36 Absatz 1 Nummer 1 des Gesetzes über Ordnungswidrigkeiten ist das Bundesverwaltungsamt.</w:t>
      </w:r>
    </w:p>
    <w:p>
      <w:r>
        <w:rPr>
          <w:color w:val="555555"/>
          <w:sz w:val="17"/>
        </w:rPr>
        <w:t xml:space="preserve">Zitiervorschlag: § 5 EBIG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