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EBBAusbV 2004 — Ausbildungsrahmenplan</w:t>
      </w:r>
    </w:p>
    <w:p>
      <w:r>
        <w:rPr>
          <w:color w:val="555555"/>
          <w:sz w:val="18"/>
        </w:rPr>
        <w:t xml:space="preserve">Verordnung über die Berufsausbildung zum Eisenbahner im Betriebsdienst/zur Eisenbahnerin im Betriebsdienst</w:t>
      </w:r>
    </w:p>
    <w:p>
      <w:r>
        <w:rPr>
          <w:color w:val="555555"/>
          <w:sz w:val="18"/>
        </w:rPr>
        <w:t xml:space="preserve">Historische Fassung: Stand 10.06.2019 bis 01.08.2022. Dies ist nicht die aktuelle Fassung.</w:t>
      </w:r>
    </w:p>
    <w:p>
      <w:r>
        <w:t xml:space="preserve">(1) Die Fertigkeiten und Kenntnisse nach § 4 sollen nach der in der Anlage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t xml:space="preserve">(2) Die im Abschnitt I der Anlage genannten Ausbildungsinhalte sind um Ausbildungsinhalte aus den Arbeits- und Geschäftsprozessen der gewählten Fachrichtung zu erweitern, um zur Durchführung komplexer ganzheitlicher Arbeitsaufgaben zu befähigen.</w:t>
      </w:r>
    </w:p>
    <w:p>
      <w:r>
        <w:rPr>
          <w:color w:val="555555"/>
          <w:sz w:val="17"/>
        </w:rPr>
        <w:t xml:space="preserve">Zitiervorschlag: § 5 EBBAusbV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https://recht.nulegal.eu/gesetze/EBBAusbV%202004/5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