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EBBAusbV 2004 — Inkrafttreten, Außerkrafttreten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12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