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EBBAusbV 2004 — Übergangsregelung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