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EBBAusbV 2004 — Staatliche Anerkennung des Ausbildungsberufes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Der Ausbildungsberuf Eisenbahner im Betriebsdienst/Eisenbahnerin im Betriebsdienst wird staatlich anerkannt.</w:t>
      </w:r>
    </w:p>
    <w:p>
      <w:r>
        <w:t xml:space="preserve">(2) Es kann in den folgenden Fachrichtungen ausgebildet werden:</w:t>
      </w:r>
    </w:p>
    <w:p>
      <w:pPr>
        <w:ind w:left="420"/>
      </w:pPr>
      <w:r>
        <w:t xml:space="preserve">1. Fahrweg,</w:t>
      </w:r>
    </w:p>
    <w:p>
      <w:pPr>
        <w:ind w:left="420"/>
      </w:pPr>
      <w:r>
        <w:t xml:space="preserve">2. Lokführer und Transport.</w:t>
      </w:r>
    </w:p>
    <w:p>
      <w:r>
        <w:rPr>
          <w:color w:val="555555"/>
          <w:sz w:val="17"/>
        </w:rPr>
        <w:t xml:space="preserve">Zitiervorschlag: § 1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