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EBArbSchV</w:t>
      </w:r>
    </w:p>
    <w:p>
      <w:r>
        <w:rPr>
          <w:color w:val="555555"/>
          <w:sz w:val="18"/>
        </w:rPr>
        <w:t xml:space="preserve">Eisenbahn-Arbeitsschutzzuständigkeitsverordnung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Abs. 5 des Allgemeinen Eisenbahngesetzes vom 27. Dezember 1993 (BGBl. I S. 2378, 2396) verordnet das Bundesministerium für Verkehr im Einvernehmen mit dem Bundesministerium für Arbeit und Sozialordnung:</w:t>
      </w:r>
    </w:p>
    <w:p>
      <w:r>
        <w:rPr>
          <w:color w:val="555555"/>
          <w:sz w:val="17"/>
        </w:rPr>
        <w:t xml:space="preserve">Zitiervorschlag: Eingangsformel EBArbSchV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https://recht.nulegal.eu/gesetze/EBArbSchV/eingangsformel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