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EBArbSchV — Inkrafttreten</w:t>
      </w:r>
    </w:p>
    <w:p>
      <w:r>
        <w:rPr>
          <w:color w:val="555555"/>
          <w:sz w:val="18"/>
        </w:rPr>
        <w:t xml:space="preserve">Eisenbahn-Arbeitsschutzzuständigkeitsverordnung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ersten Tage des auf die Verkündung folgenden Kalendermonats in Kraft.</w:t>
      </w:r>
    </w:p>
    <w:p>
      <w:r>
        <w:rPr>
          <w:color w:val="555555"/>
          <w:sz w:val="17"/>
        </w:rPr>
        <w:t xml:space="preserve">Zitiervorschlag: § 2 EBArbSchV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https://recht.nulegal.eu/gesetze/EBArbSchV/2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