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EBABGebV — Stundung, Niederschlagung und Erlass</w:t>
      </w:r>
    </w:p>
    <w:p>
      <w:r>
        <w:rPr>
          <w:color w:val="555555"/>
          <w:sz w:val="18"/>
        </w:rPr>
        <w:t xml:space="preserve">Besondere Gebührenverordnung Eisenbahn-Bundesamt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Das Eisenbahn-Bundesamt ist befugt, festgesetzte Gebühren gemäß § 59 der Bundeshaushaltsordnung zu stunden, niederzuschlagen oder zu erlassen.</w:t>
      </w:r>
    </w:p>
    <w:p>
      <w:r>
        <w:rPr>
          <w:color w:val="555555"/>
          <w:sz w:val="17"/>
        </w:rPr>
        <w:t xml:space="preserve">Zitiervorschlag: § 4 EBABGebV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https://recht.nulegal.eu/gesetze/EBABGebV/4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