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EBABGebV — Höhe der Auslagen</w:t>
      </w:r>
    </w:p>
    <w:p>
      <w:r>
        <w:rPr>
          <w:color w:val="555555"/>
          <w:sz w:val="18"/>
        </w:rPr>
        <w:t xml:space="preserve">Besondere Gebührenverordnung Eisenbahn-Bundesamt</w:t>
      </w:r>
    </w:p>
    <w:p>
      <w:r>
        <w:rPr>
          <w:color w:val="555555"/>
          <w:sz w:val="18"/>
        </w:rPr>
        <w:t xml:space="preserve">Stand: 04.08.2021 (konsolidierte Textfassung, kein amtliches Inkrafttretensdatum)</w:t>
      </w:r>
    </w:p>
    <w:p>
      <w:r>
        <w:t xml:space="preserve">(1) Kosten für Dienstreisen, externe Prüfer und Sachverständige sind in der Gebühr enthalten, es sei denn, dass im Gebührenverzeichnis etwas anderes bestimmt ist.</w:t>
      </w:r>
    </w:p>
    <w:p>
      <w:r>
        <w:t xml:space="preserve">(2) Auslagen, die für die Durchführung von Anhörungsverfahren nach Abschnitt 2 Nummer 2.5 der Anlage anfallen, werden gesondert erhoben. Dies gilt auch im Fall der Plangenehmigung, bei der eine Umweltverträglichkeitsprüfung durchzuführen ist.</w:t>
      </w:r>
    </w:p>
    <w:p>
      <w:r>
        <w:rPr>
          <w:color w:val="555555"/>
          <w:sz w:val="17"/>
        </w:rPr>
        <w:t xml:space="preserve">Zitiervorschlag: § 3 EBABGebV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https://recht.nulegal.eu/gesetze/EBABGebV/3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