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EBABGebV — Höhe der Gebühren und Nachweispflicht</w:t>
      </w:r>
    </w:p>
    <w:p>
      <w:r>
        <w:rPr>
          <w:color w:val="555555"/>
          <w:sz w:val="18"/>
        </w:rPr>
        <w:t xml:space="preserve">Besondere Gebührenverordnung Eisenbahn-Bundesamt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(1) Die gebührenfähigen Leistungen und die jeweilige Gebührenhöhe ergeben sich aus dem Gebührenverzeichnis der Anlage.</w:t>
      </w:r>
    </w:p>
    <w:p>
      <w:r>
        <w:t xml:space="preserve">(2) Bei Gebühren, die nach Zeitaufwand festgesetzt werden, beträgt der Stundensatz 120 Euro, für jede angefangene Viertelstunde beträgt der Satz 30 Euro.</w:t>
      </w:r>
    </w:p>
    <w:p>
      <w:r>
        <w:t xml:space="preserve">(3) Die nach dem Gebühren- und Auslagenverzeichnis zu erhebenden Gebühren und Auslagen umfassen jeweils auch die Kosten für die Festsetzung der Gebühren und Auslagen.</w:t>
      </w:r>
    </w:p>
    <w:p>
      <w:r>
        <w:t xml:space="preserve">(4) Der Gebührenschuldner hat die zur Bemessung der Gebühr erforderlichen Nachweise vorzulegen. Bei einer gebührenfähigen Leistung, die auf Antrag erfolgt, sind diese Nachweise bereits bei Antragstellung vorzulegen.</w:t>
      </w:r>
    </w:p>
    <w:p>
      <w:r>
        <w:rPr>
          <w:color w:val="555555"/>
          <w:sz w:val="17"/>
        </w:rPr>
        <w:t xml:space="preserve">Zitiervorschlag: § 2 EBABGebV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